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DF" w:rsidRPr="00BA7D26" w:rsidRDefault="00AB4EDF" w:rsidP="00AB4EDF">
      <w:pPr>
        <w:jc w:val="center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hAnsi="Verdana" w:cs="Times New Roman"/>
          <w:sz w:val="24"/>
          <w:szCs w:val="24"/>
        </w:rPr>
        <w:t>BURMISTRZ MIŁAKOWA</w:t>
      </w:r>
      <w:r w:rsidRPr="00BA7D26">
        <w:rPr>
          <w:rFonts w:ascii="Verdana" w:hAnsi="Verdana" w:cs="Times New Roman"/>
          <w:sz w:val="24"/>
          <w:szCs w:val="24"/>
        </w:rPr>
        <w:br/>
        <w:t>OGŁASZA</w:t>
      </w:r>
      <w:r w:rsidRPr="00BA7D26">
        <w:rPr>
          <w:rFonts w:ascii="Verdana" w:hAnsi="Verdana" w:cs="Times New Roman"/>
          <w:sz w:val="24"/>
          <w:szCs w:val="24"/>
        </w:rPr>
        <w:br/>
      </w:r>
    </w:p>
    <w:p w:rsidR="00AB4EDF" w:rsidRPr="00BA7D26" w:rsidRDefault="00AB4EDF" w:rsidP="00AB4EDF">
      <w:pPr>
        <w:spacing w:afterAutospacing="1" w:line="360" w:lineRule="auto"/>
        <w:jc w:val="center"/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</w:pPr>
      <w:r w:rsidRPr="00BA7D26">
        <w:rPr>
          <w:rFonts w:ascii="Verdana" w:eastAsia="Times New Roman" w:hAnsi="Verdana" w:cs="Times New Roman"/>
          <w:b/>
          <w:sz w:val="24"/>
          <w:szCs w:val="24"/>
          <w:lang w:eastAsia="pl-PL"/>
        </w:rPr>
        <w:t>I PRZETARG USTNY NIEOGRANICZONY NA SPRZEDAŻ NIERUCHOMOŚCI GRUNTOWEJ NIEZABUDOWANEJ, POŁOŻONEJ PRZY ul. TOPOLOWEJ</w:t>
      </w: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  <w:r w:rsidRPr="00BA7D26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W MIŁAKOWIE, </w:t>
      </w: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OZNACZONEJ NUMEREM DZIAŁKI 645/5 O POWIERZCHNI 1 243</w:t>
      </w:r>
      <w:r w:rsidRPr="00BA7D26">
        <w:rPr>
          <w:rFonts w:ascii="Verdana" w:eastAsia="Times New Roman" w:hAnsi="Verdana" w:cs="Times New Roman"/>
          <w:b/>
          <w:sz w:val="24"/>
          <w:szCs w:val="24"/>
          <w:lang w:eastAsia="pl-PL"/>
        </w:rPr>
        <w:t>,00 m</w:t>
      </w:r>
      <w:r w:rsidRPr="00BA7D26">
        <w:rPr>
          <w:rFonts w:ascii="Verdana" w:eastAsia="Times New Roman" w:hAnsi="Verdana" w:cs="Times New Roman"/>
          <w:b/>
          <w:sz w:val="24"/>
          <w:szCs w:val="24"/>
          <w:vertAlign w:val="superscript"/>
          <w:lang w:eastAsia="pl-PL"/>
        </w:rPr>
        <w:t>2</w:t>
      </w:r>
      <w:r w:rsidRPr="00BA7D26">
        <w:rPr>
          <w:rFonts w:ascii="Verdana" w:eastAsia="Times New Roman" w:hAnsi="Verdana" w:cs="Times New Roman"/>
          <w:b/>
          <w:sz w:val="24"/>
          <w:szCs w:val="24"/>
          <w:lang w:eastAsia="pl-PL"/>
        </w:rPr>
        <w:t>.</w:t>
      </w:r>
    </w:p>
    <w:p w:rsidR="00AB4EDF" w:rsidRPr="005F2155" w:rsidRDefault="00AB4EDF" w:rsidP="005F2155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Nieruchomość położona jest w odległości około 1100 m od centralnej części miasta Miłakowa, w otoczeniu nieruchomości niezabudowanych, zabudowanych budynkami mieszkalnymi i budynkami użyteczności publicznej (szkoła).  Działka posiada regularny kształt – zbliżony do trapezu, teren działki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częściowo na poziomie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wewnętrznej</w:t>
      </w:r>
      <w:r w:rsidR="00BF120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drogi gminnej, ulega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obniżeniu w kierunku północno - zachodnim. W obniżeniu terenu działka może ulegać okresowemu zalewaniu wodami opadowymi i roztopowymi.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BF1200">
        <w:rPr>
          <w:rFonts w:ascii="Verdana" w:eastAsia="Times New Roman" w:hAnsi="Verdana" w:cs="Times New Roman"/>
          <w:sz w:val="24"/>
          <w:szCs w:val="24"/>
          <w:lang w:eastAsia="pl-PL"/>
        </w:rPr>
        <w:t>Działka posiada dostęp do drogi publicznej – ulicy Topolowej (numer drogi 1168N) poprzez wewnętrzną drogę gminną o numerze działki 645/8, która utwardzona jest kostką brukową. W drodze gminnej o numerze działki 645/8 znajdują się sieci: elektroenergetyczna, gazowa, wodociągowa (przyłącza na warunkach uzyskanych przez przyszłego nabywcę od gestorów sieci). Działka uzbrojona zos</w:t>
      </w:r>
      <w:r w:rsidR="002B0E35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tała w przyłącze kanalizacyjne oraz utwardzony kostką brukową zjazd z wewnętrznej drogi gminnej. 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Działka porośnięta samosiewem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trawy, częściowo zadrzewiona  i  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zakrzewiona.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Dla nieruchomości brak planu zagospodarowania przestrzennego, a Gmina Miłakowo nie przystąpiła do sporządzania planu. </w:t>
      </w:r>
      <w:r w:rsidRPr="00BA7D26">
        <w:rPr>
          <w:rFonts w:ascii="Verdana" w:eastAsia="SimSun" w:hAnsi="Verdana" w:cs="Times New Roman"/>
          <w:kern w:val="3"/>
          <w:sz w:val="24"/>
          <w:szCs w:val="24"/>
          <w:lang w:eastAsia="zh-CN" w:bidi="hi-IN"/>
        </w:rPr>
        <w:t xml:space="preserve">Zgodnie </w:t>
      </w:r>
      <w:r w:rsidRPr="00BA7D26">
        <w:rPr>
          <w:rFonts w:ascii="Verdana" w:eastAsia="Times New Roman" w:hAnsi="Verdana" w:cs="Arial"/>
          <w:sz w:val="24"/>
          <w:szCs w:val="24"/>
          <w:lang w:eastAsia="ar-SA"/>
        </w:rPr>
        <w:t>ze</w:t>
      </w:r>
      <w:r w:rsidRPr="00BA7D26">
        <w:rPr>
          <w:rFonts w:ascii="Verdana" w:eastAsia="Times New Roman" w:hAnsi="Verdana" w:cs="Arial"/>
          <w:kern w:val="3"/>
          <w:sz w:val="24"/>
          <w:szCs w:val="24"/>
          <w:lang w:eastAsia="ar-SA"/>
        </w:rPr>
        <w:t xml:space="preserve"> studium uwarunkowań i kierunków zagospodarowania przestrzennego miasta i gminy Miłakowo, uchwalonym uchwałą nr LXVII/429/2024 Rady Miejskiej w Miłakowie z dnia 29 lutego 2024 r.</w:t>
      </w:r>
      <w:r w:rsidRPr="00BA7D26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  <w:r w:rsidRPr="00BA7D26">
        <w:rPr>
          <w:rFonts w:ascii="Verdana" w:eastAsia="Times New Roman" w:hAnsi="Verdana" w:cs="Arial"/>
          <w:kern w:val="3"/>
          <w:sz w:val="24"/>
          <w:szCs w:val="24"/>
          <w:lang w:eastAsia="ar-SA"/>
        </w:rPr>
        <w:t xml:space="preserve">przedmiotowa 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działka oznaczona jest symbolem – MJ – tereny zabudowy mieszkaniowej jednorodzinn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ej. Stan prawny działki nr 645/5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został uregulowany w</w:t>
      </w:r>
      <w:r w:rsidRPr="00BA7D26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księdze wieczystej nr EL2O/00013715/9. Nieruchomość wolna jest od wszelkich obciążeń i zobowiązań.</w:t>
      </w:r>
    </w:p>
    <w:p w:rsidR="00AB4EDF" w:rsidRPr="00BA7D26" w:rsidRDefault="00AB4EDF" w:rsidP="00AB4EDF">
      <w:pPr>
        <w:spacing w:afterAutospacing="1" w:line="360" w:lineRule="auto"/>
        <w:jc w:val="both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eastAsia="Times New Roman" w:hAnsi="Verdana" w:cs="Times New Roman"/>
          <w:bCs/>
          <w:sz w:val="24"/>
          <w:szCs w:val="24"/>
          <w:lang w:eastAsia="pl-PL"/>
        </w:rPr>
        <w:lastRenderedPageBreak/>
        <w:t>Termin do złożenia wniosku przez osoby, którym przysługuje pierwszeństwo w nabyciu nieruchomości na podstawie art. 34 ust. 1 pkt 1 i 2 ustawy z dnia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21 sierpnia 1997 r. o gospodarce nieruchomościami (t. j. Dz. U. z 2023 r. Poz.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344 ze zm.) upłynął dnia 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15.05.2024 r.</w:t>
      </w:r>
    </w:p>
    <w:p w:rsidR="00AB4EDF" w:rsidRPr="00BA7D26" w:rsidRDefault="00AB4EDF" w:rsidP="00AB4EDF">
      <w:pPr>
        <w:spacing w:afterAutospacing="1" w:line="360" w:lineRule="auto"/>
        <w:jc w:val="center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>CENA WYWOŁ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>AWCZA NIERUCHOMOŚCI WYNOSI: 52 70</w:t>
      </w:r>
      <w:r w:rsidRPr="00BA7D2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>0,00 ZŁ</w:t>
      </w:r>
      <w:r w:rsidRPr="00BA7D2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br/>
        <w:t>WADIUM WYNOSI: 10 000,00 ZŁ</w:t>
      </w:r>
    </w:p>
    <w:p w:rsidR="00AB4EDF" w:rsidRPr="00BA7D26" w:rsidRDefault="00AB4EDF" w:rsidP="00AB4EDF">
      <w:pPr>
        <w:pStyle w:val="Tekstpodstawowy"/>
        <w:spacing w:before="58" w:line="312" w:lineRule="auto"/>
        <w:ind w:right="124" w:firstLine="713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hAnsi="Verdana" w:cs="Times New Roman"/>
          <w:sz w:val="24"/>
          <w:szCs w:val="24"/>
        </w:rPr>
        <w:t>O wysokości postąpienia</w:t>
      </w:r>
      <w:r w:rsidRPr="00BA7D26">
        <w:rPr>
          <w:rFonts w:ascii="Verdana" w:hAnsi="Verdana" w:cs="Times New Roman"/>
          <w:spacing w:val="52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decydują uczestnicy</w:t>
      </w:r>
      <w:r w:rsidRPr="00BA7D26">
        <w:rPr>
          <w:rFonts w:ascii="Verdana" w:hAnsi="Verdana" w:cs="Times New Roman"/>
          <w:spacing w:val="53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przetargu,</w:t>
      </w:r>
      <w:r w:rsidRPr="00BA7D26">
        <w:rPr>
          <w:rFonts w:ascii="Verdana" w:hAnsi="Verdana" w:cs="Times New Roman"/>
          <w:spacing w:val="52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z tym że postąpienie nie może wynosić mniej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niż</w:t>
      </w:r>
      <w:r w:rsidRPr="00BA7D26">
        <w:rPr>
          <w:rFonts w:ascii="Verdana" w:hAnsi="Verdana" w:cs="Times New Roman"/>
          <w:spacing w:val="28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1%</w:t>
      </w:r>
      <w:r w:rsidRPr="00BA7D26">
        <w:rPr>
          <w:rFonts w:ascii="Verdana" w:hAnsi="Verdana" w:cs="Times New Roman"/>
          <w:spacing w:val="28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ceny</w:t>
      </w:r>
      <w:r w:rsidRPr="00BA7D26">
        <w:rPr>
          <w:rFonts w:ascii="Verdana" w:hAnsi="Verdana" w:cs="Times New Roman"/>
          <w:spacing w:val="19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wywoławczej,</w:t>
      </w:r>
      <w:r w:rsidRPr="00BA7D26">
        <w:rPr>
          <w:rFonts w:ascii="Verdana" w:hAnsi="Verdana" w:cs="Times New Roman"/>
          <w:spacing w:val="29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color w:val="242424"/>
          <w:position w:val="1"/>
          <w:sz w:val="24"/>
          <w:szCs w:val="24"/>
        </w:rPr>
        <w:t>z</w:t>
      </w:r>
      <w:r w:rsidRPr="00BA7D26">
        <w:rPr>
          <w:rFonts w:ascii="Verdana" w:hAnsi="Verdana" w:cs="Times New Roman"/>
          <w:color w:val="242424"/>
          <w:spacing w:val="14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zaokrągleniem</w:t>
      </w:r>
      <w:r w:rsidRPr="00BA7D26">
        <w:rPr>
          <w:rFonts w:ascii="Verdana" w:hAnsi="Verdana" w:cs="Times New Roman"/>
          <w:spacing w:val="17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color w:val="161616"/>
          <w:position w:val="1"/>
          <w:sz w:val="24"/>
          <w:szCs w:val="24"/>
        </w:rPr>
        <w:t>w</w:t>
      </w:r>
      <w:r w:rsidRPr="00BA7D26">
        <w:rPr>
          <w:rFonts w:ascii="Verdana" w:hAnsi="Verdana" w:cs="Times New Roman"/>
          <w:color w:val="161616"/>
          <w:spacing w:val="14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górę</w:t>
      </w:r>
      <w:r w:rsidRPr="00BA7D26">
        <w:rPr>
          <w:rFonts w:ascii="Verdana" w:hAnsi="Verdana" w:cs="Times New Roman"/>
          <w:spacing w:val="4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do</w:t>
      </w:r>
      <w:r w:rsidRPr="00BA7D26">
        <w:rPr>
          <w:rFonts w:ascii="Verdana" w:hAnsi="Verdana" w:cs="Times New Roman"/>
          <w:spacing w:val="9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pełnych</w:t>
      </w:r>
      <w:r w:rsidRPr="00BA7D26">
        <w:rPr>
          <w:rFonts w:ascii="Verdana" w:hAnsi="Verdana" w:cs="Times New Roman"/>
          <w:spacing w:val="15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dziesiątek</w:t>
      </w:r>
      <w:r w:rsidRPr="00BA7D26">
        <w:rPr>
          <w:rFonts w:ascii="Verdana" w:hAnsi="Verdana" w:cs="Times New Roman"/>
          <w:spacing w:val="15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złotych,</w:t>
      </w:r>
      <w:r w:rsidRPr="00BA7D26">
        <w:rPr>
          <w:rFonts w:ascii="Verdana" w:hAnsi="Verdana" w:cs="Times New Roman"/>
          <w:spacing w:val="21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tj.</w:t>
      </w:r>
      <w:r w:rsidRPr="00BA7D26">
        <w:rPr>
          <w:rFonts w:ascii="Verdana" w:hAnsi="Verdana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Verdana" w:hAnsi="Verdana" w:cs="Times New Roman"/>
          <w:position w:val="1"/>
          <w:sz w:val="24"/>
          <w:szCs w:val="24"/>
        </w:rPr>
        <w:t>530</w:t>
      </w:r>
      <w:r w:rsidRPr="00BA7D26">
        <w:rPr>
          <w:rFonts w:ascii="Verdana" w:hAnsi="Verdana" w:cs="Times New Roman"/>
          <w:position w:val="1"/>
          <w:sz w:val="24"/>
          <w:szCs w:val="24"/>
        </w:rPr>
        <w:t>,00</w:t>
      </w:r>
      <w:r w:rsidRPr="00BA7D26">
        <w:rPr>
          <w:rFonts w:ascii="Verdana" w:hAnsi="Verdana" w:cs="Times New Roman"/>
          <w:spacing w:val="18"/>
          <w:position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position w:val="1"/>
          <w:sz w:val="24"/>
          <w:szCs w:val="24"/>
        </w:rPr>
        <w:t>zł.</w:t>
      </w:r>
    </w:p>
    <w:p w:rsidR="00AB4EDF" w:rsidRPr="00BA7D26" w:rsidRDefault="00AB4EDF" w:rsidP="00AB4EDF">
      <w:pPr>
        <w:spacing w:afterAutospacing="1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AB4EDF" w:rsidRPr="00BA7D26" w:rsidRDefault="00AB4EDF" w:rsidP="00AB4EDF">
      <w:pPr>
        <w:spacing w:after="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BA7D26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PRZETARG ODBĘDZIE SIĘ W DNIU 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pl-PL"/>
        </w:rPr>
        <w:t>24 lipca</w:t>
      </w:r>
      <w:r w:rsidRPr="00BA7D2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2024 r.</w:t>
      </w:r>
      <w:r w:rsidRPr="00BA7D26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br/>
      </w:r>
      <w:r w:rsidRPr="00E66C67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  <w:lang w:eastAsia="pl-PL"/>
        </w:rPr>
        <w:t>O GODZ.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pl-PL"/>
        </w:rPr>
        <w:t>10</w:t>
      </w:r>
      <w:r w:rsidRPr="00E66C67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.00 </w:t>
      </w:r>
      <w:r w:rsidRPr="00BA7D26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W SIEDZIBIE URZ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ĘDU MIEJSKIEGO W MIŁAKOWIE PRZY </w:t>
      </w:r>
      <w:r w:rsidRPr="00BA7D26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ul. OLSZTYŃSKIEJ 16, 14-310 MIŁAKOWO, POKÓJ NR 21.</w:t>
      </w:r>
    </w:p>
    <w:p w:rsidR="00AB4EDF" w:rsidRPr="00BA7D26" w:rsidRDefault="00AB4EDF" w:rsidP="00AB4EDF">
      <w:pPr>
        <w:spacing w:before="120" w:after="12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Zgodnie z art. 43 ust. 1 pkt 9 ustawy z dnia 11 marca 2004 r. o podatku od towarów i usług (</w:t>
      </w:r>
      <w:proofErr w:type="spellStart"/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t.j</w:t>
      </w:r>
      <w:proofErr w:type="spellEnd"/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Dz. U. z 2023 r. poz. 1570 ze zm.) sprzedaż zwolniona jest z podatku vat. </w:t>
      </w:r>
    </w:p>
    <w:p w:rsidR="00AB4EDF" w:rsidRPr="00BA7D26" w:rsidRDefault="00AB4EDF" w:rsidP="00AB4EDF">
      <w:pPr>
        <w:spacing w:before="120" w:afterAutospacing="1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Warunkiem przystąpienia do przetargu jest wpłacenie w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adium w wysokości podanej wyżej 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w kasie Urzędu Miejskiego w Miłakowie lub na rac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hunek bankowy Urzędu Miejskiego 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Miłakowie WBS O/Miłakowo nr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   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27 8857 1038 3001 0000 0202 0004 najpóźniej do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dnia </w:t>
      </w:r>
      <w:r w:rsidRPr="007F7AB2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18.07.2024</w:t>
      </w:r>
      <w:r w:rsidRPr="007F7AB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BA7D26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(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 datę wniesienia wadium uważa się datę wpływu środków pieniężnych na rachunek Gminy Miłakowo) oraz złożenie oświadczenia, że znany jest uczestnikowi przetargu stan prawny i stan zagospodarowania nieruchomości. </w:t>
      </w:r>
    </w:p>
    <w:p w:rsidR="00AB4EDF" w:rsidRPr="00BA7D26" w:rsidRDefault="00AB4EDF" w:rsidP="00AB4EDF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l-PL"/>
        </w:rPr>
        <w:t>Dokument tożsamości, dowód wniesienia wadium oraz oświadczenie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BA7D2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l-PL"/>
        </w:rPr>
        <w:t xml:space="preserve">uczestnika przetargu </w:t>
      </w: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że znany jest mu stan prawny i stan zagospodarowania nieruchomości</w:t>
      </w:r>
      <w:r w:rsidRPr="00BA7D2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podlega przedłożeniu komisji przetargowej przed otwarciem przetargu.</w:t>
      </w:r>
    </w:p>
    <w:p w:rsidR="00AB4EDF" w:rsidRPr="00BA7D26" w:rsidRDefault="00AB4EDF" w:rsidP="00AB4EDF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Wadium wpłacone przez uczestnika, który wygra przetarg, zostanie zaliczone na poczet ceny nabycia. Pozostałym uczestnikom, wadium zwraca się po zakończeniu przetargu, jednak nie później niż przed upływem 3 dni od daty zakończenia przetargu.</w:t>
      </w:r>
    </w:p>
    <w:p w:rsidR="00AB4EDF" w:rsidRPr="00BA7D26" w:rsidRDefault="00AB4EDF" w:rsidP="00AB4EDF">
      <w:pPr>
        <w:spacing w:before="120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W przypadku wspólności ustawowej wadium na przetarg należy wnieść przez oboje małżonków, ponadto wymagana jest obecność obojga małżonków na przetargu lub zwykłe pełnomocnictwo udzielone przez nieobecnego małżonka do wniesienia wadium, uczestnictwa w przetargu w jego imieniu i składania oświadczeń związanych z przetargiem. Zgodnie z art. 37 § 1 pkt 1 ustawy z dnia 25 lutego 1964r. Kodeks rodzinny i opiekuńczy (t. j. Dz. U z 2023 poz. 2809 ze zm.) do dokonania czynności prawnej prowadzącej do zbycia, obciążenia, odpłatnego nabycia nieruchomości potrzebna jest zgoda drugiego małżonka.</w:t>
      </w:r>
    </w:p>
    <w:p w:rsidR="00AB4EDF" w:rsidRPr="00BA7D26" w:rsidRDefault="00AB4EDF" w:rsidP="00AB4EDF">
      <w:pPr>
        <w:spacing w:before="120"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hAnsi="Verdana" w:cs="Times New Roman"/>
          <w:sz w:val="24"/>
          <w:szCs w:val="24"/>
        </w:rPr>
        <w:t>Jeżeli uczestnik jest reprezentowany przez pełnomocnika, konieczne jest przedłożenie oryginału pełnomocnictwa upoważniającego do działania na każdym etapie postępowania przetargowego z potwierdzeniem wniesienia opłaty skarbowej z tytułu pełnomocnictwa, jeżeli wniesienie takiej opłaty wynika z przepisów ustawy z dnia 16.11.2006r. o opłacie skarbowej (t. j. Dz. U. z 2023r. poz. 2111 ze zm.).</w:t>
      </w:r>
    </w:p>
    <w:p w:rsidR="00AB4EDF" w:rsidRPr="00BA7D26" w:rsidRDefault="00AB4EDF" w:rsidP="00AB4EDF">
      <w:pPr>
        <w:pStyle w:val="Tekstpodstawowy"/>
        <w:spacing w:line="360" w:lineRule="auto"/>
        <w:ind w:left="0" w:right="117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hAnsi="Verdana" w:cs="Times New Roman"/>
          <w:sz w:val="24"/>
          <w:szCs w:val="24"/>
        </w:rPr>
        <w:t>Nabycie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nieruchomości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przez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cudzoziemca,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w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rozumieniu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przepisów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ustawy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color w:val="1D1D1D"/>
          <w:sz w:val="24"/>
          <w:szCs w:val="24"/>
        </w:rPr>
        <w:t>o</w:t>
      </w:r>
      <w:r w:rsidRPr="00BA7D26">
        <w:rPr>
          <w:rFonts w:ascii="Verdana" w:hAnsi="Verdana" w:cs="Times New Roman"/>
          <w:color w:val="1D1D1D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nabywaniu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nieruchomości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przez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cudzoziemców,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wymaga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uzyskania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zezwolenia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ministra</w:t>
      </w:r>
      <w:r w:rsidRPr="00BA7D26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właściwego do spraw wewnętrznych i administracji. W przypadku nieuzyskania zezwolenia wpłacone wadium nie będzie podlegało zwrotowi Nabywca nieruchomości jest zobowiązany do ustalenia we własnym zakresie czy nabycie</w:t>
      </w:r>
      <w:r w:rsidRPr="00BA7D26">
        <w:rPr>
          <w:rFonts w:ascii="Verdana" w:hAnsi="Verdana" w:cs="Times New Roman"/>
          <w:spacing w:val="1"/>
          <w:w w:val="90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nieruchomości</w:t>
      </w:r>
      <w:r w:rsidRPr="00BA7D26">
        <w:rPr>
          <w:rFonts w:ascii="Verdana" w:hAnsi="Verdana" w:cs="Times New Roman"/>
          <w:spacing w:val="18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będącej</w:t>
      </w:r>
      <w:r w:rsidRPr="00BA7D26">
        <w:rPr>
          <w:rFonts w:ascii="Verdana" w:hAnsi="Verdana" w:cs="Times New Roman"/>
          <w:spacing w:val="12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przedmiotem</w:t>
      </w:r>
      <w:r w:rsidRPr="00BA7D26">
        <w:rPr>
          <w:rFonts w:ascii="Verdana" w:hAnsi="Verdana" w:cs="Times New Roman"/>
          <w:spacing w:val="14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przetargu</w:t>
      </w:r>
      <w:r w:rsidRPr="00BA7D26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wymaga</w:t>
      </w:r>
      <w:r w:rsidRPr="00BA7D26">
        <w:rPr>
          <w:rFonts w:ascii="Verdana" w:hAnsi="Verdana" w:cs="Times New Roman"/>
          <w:spacing w:val="22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takiego</w:t>
      </w:r>
      <w:r w:rsidRPr="00BA7D26">
        <w:rPr>
          <w:rFonts w:ascii="Verdana" w:hAnsi="Verdana" w:cs="Times New Roman"/>
          <w:spacing w:val="12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zezwolenia. Uczestnik, który wygra przetarg nabywa nieruchomość będąca przedmiotem przetargu na zasadach określonych</w:t>
      </w:r>
      <w:r w:rsidRPr="00BA7D26">
        <w:rPr>
          <w:rFonts w:ascii="Verdana" w:hAnsi="Verdana" w:cs="Times New Roman"/>
          <w:spacing w:val="17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ustawie</w:t>
      </w:r>
      <w:r w:rsidRPr="00BA7D26">
        <w:rPr>
          <w:rFonts w:ascii="Verdana" w:hAnsi="Verdana" w:cs="Times New Roman"/>
          <w:spacing w:val="12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o</w:t>
      </w:r>
      <w:r w:rsidRPr="00BA7D26">
        <w:rPr>
          <w:rFonts w:ascii="Verdana" w:hAnsi="Verdana" w:cs="Times New Roman"/>
          <w:spacing w:val="6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gospodarce</w:t>
      </w:r>
      <w:r w:rsidRPr="00BA7D26">
        <w:rPr>
          <w:rFonts w:ascii="Verdana" w:hAnsi="Verdana" w:cs="Times New Roman"/>
          <w:spacing w:val="28"/>
          <w:sz w:val="24"/>
          <w:szCs w:val="24"/>
        </w:rPr>
        <w:t xml:space="preserve"> </w:t>
      </w:r>
      <w:r w:rsidRPr="00BA7D26">
        <w:rPr>
          <w:rFonts w:ascii="Verdana" w:hAnsi="Verdana" w:cs="Times New Roman"/>
          <w:sz w:val="24"/>
          <w:szCs w:val="24"/>
        </w:rPr>
        <w:t>nieruchomościami.</w:t>
      </w:r>
    </w:p>
    <w:p w:rsidR="00AB4EDF" w:rsidRPr="00BA7D26" w:rsidRDefault="00AB4EDF" w:rsidP="00AB4EDF">
      <w:pPr>
        <w:pStyle w:val="Tekstpodstawowy"/>
        <w:spacing w:line="360" w:lineRule="auto"/>
        <w:ind w:left="0" w:right="117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hAnsi="Verdana" w:cs="Times New Roman"/>
          <w:sz w:val="24"/>
          <w:szCs w:val="24"/>
        </w:rPr>
        <w:t xml:space="preserve">Sprzedaż nieruchomości następuje zgodnie z wyrysem z mapy ewidencyjnej oraz wypisem  z ewidencji gruntów i budynków, wydanymi przez Starostę Ostródzkiego. Okazanie punktów granicznych </w:t>
      </w:r>
      <w:r w:rsidRPr="00BA7D26">
        <w:rPr>
          <w:rFonts w:ascii="Verdana" w:hAnsi="Verdana" w:cs="Times New Roman"/>
          <w:sz w:val="24"/>
          <w:szCs w:val="24"/>
        </w:rPr>
        <w:lastRenderedPageBreak/>
        <w:t xml:space="preserve">nieruchomości może nastąpić na życzenie i wyłączny koszt nabywcy. Niezależnie od podanych powyżej informacji, nabywca odpowiada za samodzielne zapoznanie się ze stanem prawnym i faktycznym nieruchomości, jej parametrami oraz możliwością zagospodarowania. </w:t>
      </w:r>
    </w:p>
    <w:p w:rsidR="00AB4EDF" w:rsidRPr="00BA7D26" w:rsidRDefault="00AB4EDF" w:rsidP="00AB4EDF">
      <w:pPr>
        <w:spacing w:before="120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Osoba ustalona jako nabywca zostanie zawiadomiona o miejscu i terminie zawarcia umowy sprzedaży nieruchomości, najpóźniej w ciągu 21 dni, od dnia rozstrzygnięcia przetargu.</w:t>
      </w:r>
    </w:p>
    <w:p w:rsidR="00AB4EDF" w:rsidRPr="00BA7D26" w:rsidRDefault="00AB4EDF" w:rsidP="00AB4EDF">
      <w:pPr>
        <w:spacing w:before="120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Jeżeli osoba ustalona jako nabywca nieruchomości nie przystąpi bez usprawiedliwienia do zawarcia umowy w miejscu i terminie podanych w zawiadomieniu, organizator przetargu może odstąpić od zawarcia umowy, a wpłacone wadium nie podlega zwrotowi.</w:t>
      </w:r>
    </w:p>
    <w:p w:rsidR="00AB4EDF" w:rsidRPr="00BA7D26" w:rsidRDefault="00AB4EDF" w:rsidP="00AB4EDF">
      <w:pPr>
        <w:spacing w:before="120"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Cena sprzedaży nieruchomości nie podlega rozłożeniu na raty i płatna jest w pełnej wysokości przed zawarciem notarialnej umowy sprzedaży.</w:t>
      </w:r>
    </w:p>
    <w:p w:rsidR="00AB4EDF" w:rsidRPr="00BA7D26" w:rsidRDefault="00AB4EDF" w:rsidP="00AB4EDF">
      <w:pPr>
        <w:spacing w:before="120"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>Bliższych informacji dotyczących w/w nieruchomości można uzyskać w Urzędzie Miejskim w Miłakowie, pok. nr 10 lub nr 1 oraz pod nr telefonu  89 757 83 46 lub 89 757 83 45.</w:t>
      </w:r>
    </w:p>
    <w:p w:rsidR="00AB4EDF" w:rsidRPr="00BA7D26" w:rsidRDefault="00AB4EDF" w:rsidP="00AB4EDF">
      <w:pPr>
        <w:spacing w:before="120"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Ogłoszenie o przetargu podano do publicznej wiadomości poprzez zamieszczenie na tablicach ogłoszeń Urzędu Miejskiego w Miłakowie, ogłoszenie dostępne jest również na stronie internetowej </w:t>
      </w:r>
      <w:hyperlink r:id="rId5" w:history="1">
        <w:r w:rsidRPr="00BA7D26">
          <w:rPr>
            <w:rStyle w:val="Hipercze"/>
            <w:rFonts w:ascii="Verdana" w:hAnsi="Verdana" w:cs="Times New Roman"/>
            <w:sz w:val="24"/>
            <w:szCs w:val="24"/>
          </w:rPr>
          <w:t>https://bip.milakowo.eu</w:t>
        </w:r>
      </w:hyperlink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</w:t>
      </w:r>
      <w:hyperlink r:id="rId6" w:history="1">
        <w:r w:rsidRPr="00E93D5A">
          <w:rPr>
            <w:rStyle w:val="Hipercze"/>
            <w:rFonts w:ascii="Verdana" w:eastAsia="Times New Roman" w:hAnsi="Verdana" w:cs="Times New Roman"/>
            <w:sz w:val="24"/>
            <w:szCs w:val="24"/>
            <w:lang w:eastAsia="pl-PL"/>
          </w:rPr>
          <w:t>https://milakowo.eu</w:t>
        </w:r>
      </w:hyperlink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w internetowym serwisie ogłoszeniowym OLX -  kategoria nieruchomości.</w:t>
      </w:r>
    </w:p>
    <w:p w:rsidR="00FE6A2C" w:rsidRDefault="00FE6A2C" w:rsidP="00FE6A2C">
      <w:pPr>
        <w:spacing w:before="360"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Burmistrz Miłakowa</w:t>
      </w:r>
    </w:p>
    <w:p w:rsidR="00FE6A2C" w:rsidRDefault="00FE6A2C" w:rsidP="00FE6A2C">
      <w:pPr>
        <w:spacing w:before="360" w:after="0" w:line="240" w:lineRule="auto"/>
        <w:ind w:left="3540" w:firstLine="708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/-/ Krzysztof </w:t>
      </w:r>
      <w:proofErr w:type="spellStart"/>
      <w:r>
        <w:rPr>
          <w:rFonts w:ascii="Verdana" w:hAnsi="Verdana" w:cs="Times New Roman"/>
          <w:sz w:val="24"/>
          <w:szCs w:val="24"/>
        </w:rPr>
        <w:t>Szulborski</w:t>
      </w:r>
      <w:proofErr w:type="spellEnd"/>
    </w:p>
    <w:p w:rsidR="00FE6A2C" w:rsidRDefault="00FE6A2C" w:rsidP="00FE6A2C">
      <w:pPr>
        <w:spacing w:before="360" w:after="360" w:line="360" w:lineRule="auto"/>
        <w:jc w:val="right"/>
        <w:rPr>
          <w:rFonts w:ascii="Verdana" w:hAnsi="Verdana" w:cs="Times New Roman"/>
          <w:sz w:val="24"/>
          <w:szCs w:val="24"/>
        </w:rPr>
      </w:pPr>
    </w:p>
    <w:p w:rsidR="00AB4EDF" w:rsidRPr="00BA7D26" w:rsidRDefault="00AB4EDF" w:rsidP="00AB4EDF">
      <w:pPr>
        <w:spacing w:before="360" w:after="360" w:line="360" w:lineRule="auto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AB4EDF" w:rsidRPr="00BA7D26" w:rsidRDefault="00AB4EDF" w:rsidP="00AB4EDF">
      <w:pPr>
        <w:spacing w:before="360" w:after="360" w:line="360" w:lineRule="auto"/>
        <w:rPr>
          <w:rFonts w:ascii="Verdana" w:hAnsi="Verdana" w:cs="Times New Roman"/>
          <w:sz w:val="24"/>
          <w:szCs w:val="24"/>
        </w:rPr>
      </w:pPr>
    </w:p>
    <w:p w:rsidR="00EF465E" w:rsidRDefault="00EF465E" w:rsidP="00EF465E">
      <w:pPr>
        <w:spacing w:before="360" w:after="360" w:line="360" w:lineRule="auto"/>
        <w:jc w:val="center"/>
        <w:rPr>
          <w:rFonts w:ascii="Verdana" w:hAnsi="Verdana" w:cs="Times New Roman"/>
          <w:sz w:val="24"/>
          <w:szCs w:val="24"/>
        </w:rPr>
      </w:pPr>
    </w:p>
    <w:p w:rsidR="00EF465E" w:rsidRDefault="00EF465E" w:rsidP="00EF465E">
      <w:pPr>
        <w:spacing w:before="360" w:after="360" w:line="360" w:lineRule="auto"/>
        <w:jc w:val="center"/>
        <w:rPr>
          <w:rFonts w:ascii="Verdana" w:hAnsi="Verdana" w:cs="Times New Roman"/>
          <w:sz w:val="24"/>
          <w:szCs w:val="24"/>
        </w:rPr>
      </w:pPr>
    </w:p>
    <w:p w:rsidR="00EF465E" w:rsidRDefault="00EF465E" w:rsidP="00EF465E">
      <w:pPr>
        <w:spacing w:before="360" w:after="360" w:line="360" w:lineRule="auto"/>
        <w:jc w:val="center"/>
        <w:rPr>
          <w:rFonts w:ascii="Verdana" w:hAnsi="Verdana" w:cs="Times New Roman"/>
          <w:sz w:val="24"/>
          <w:szCs w:val="24"/>
        </w:rPr>
      </w:pPr>
    </w:p>
    <w:p w:rsidR="00EF465E" w:rsidRDefault="00EF465E" w:rsidP="00EF465E">
      <w:pPr>
        <w:spacing w:before="360" w:after="360" w:line="36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Załącznik do ogłoszenia o przetargu</w:t>
      </w:r>
    </w:p>
    <w:p w:rsidR="00AB4EDF" w:rsidRPr="00BA7D26" w:rsidRDefault="00AB4EDF" w:rsidP="00AB4EDF">
      <w:pPr>
        <w:spacing w:before="360" w:after="360" w:line="360" w:lineRule="auto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hAnsi="Verdana" w:cs="Times New Roman"/>
          <w:sz w:val="24"/>
          <w:szCs w:val="24"/>
        </w:rPr>
        <w:t xml:space="preserve">Mapa poglądowa działki </w:t>
      </w:r>
      <w:r>
        <w:rPr>
          <w:rFonts w:ascii="Verdana" w:hAnsi="Verdana" w:cs="Times New Roman"/>
          <w:sz w:val="24"/>
          <w:szCs w:val="24"/>
        </w:rPr>
        <w:t>nr 645/5, położonej przy ul. Topolowej</w:t>
      </w:r>
      <w:r w:rsidRPr="00BA7D26">
        <w:rPr>
          <w:rFonts w:ascii="Verdana" w:hAnsi="Verdana" w:cs="Times New Roman"/>
          <w:sz w:val="24"/>
          <w:szCs w:val="24"/>
        </w:rPr>
        <w:t xml:space="preserve"> w Miłakowie.</w:t>
      </w:r>
    </w:p>
    <w:p w:rsidR="00AB4EDF" w:rsidRPr="00BA7D26" w:rsidRDefault="00AB4EDF" w:rsidP="00AB4EDF">
      <w:pPr>
        <w:pStyle w:val="NormalnyWeb"/>
        <w:rPr>
          <w:rFonts w:ascii="Verdana" w:hAnsi="Verdana"/>
          <w:noProof/>
        </w:rPr>
      </w:pPr>
    </w:p>
    <w:p w:rsidR="00AB4EDF" w:rsidRPr="007F7AB2" w:rsidRDefault="00AB4EDF" w:rsidP="00AB4EDF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B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EB8D3DF" wp14:editId="33A4DEAA">
            <wp:extent cx="5467350" cy="3838575"/>
            <wp:effectExtent l="0" t="0" r="0" b="9525"/>
            <wp:docPr id="1" name="Obraz 1" descr="C:\Users\antoma\AppData\Local\Packages\Microsoft.Windows.Photos_8wekyb3d8bbwe\TempState\ShareServiceTempFolder\topolow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ma\AppData\Local\Packages\Microsoft.Windows.Photos_8wekyb3d8bbwe\TempState\ShareServiceTempFolder\topolow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DF" w:rsidRPr="00BA7D26" w:rsidRDefault="00AB4EDF" w:rsidP="00AB4EDF">
      <w:pPr>
        <w:pStyle w:val="NormalnyWeb"/>
        <w:rPr>
          <w:rFonts w:ascii="Verdana" w:hAnsi="Verdana"/>
        </w:rPr>
      </w:pPr>
    </w:p>
    <w:p w:rsidR="00AB4EDF" w:rsidRPr="00BA7D26" w:rsidRDefault="00AB4EDF" w:rsidP="00AB4EDF">
      <w:pPr>
        <w:spacing w:before="360" w:after="360" w:line="360" w:lineRule="auto"/>
        <w:rPr>
          <w:rFonts w:ascii="Verdana" w:hAnsi="Verdana" w:cs="Times New Roman"/>
          <w:sz w:val="24"/>
          <w:szCs w:val="24"/>
        </w:rPr>
      </w:pPr>
      <w:r w:rsidRPr="00BA7D26">
        <w:rPr>
          <w:rFonts w:ascii="Verdana" w:hAnsi="Verdana" w:cs="Times New Roman"/>
          <w:sz w:val="24"/>
          <w:szCs w:val="24"/>
        </w:rPr>
        <w:br/>
      </w:r>
    </w:p>
    <w:p w:rsidR="00AB4EDF" w:rsidRPr="00BA7D26" w:rsidRDefault="00AB4EDF" w:rsidP="00AB4EDF">
      <w:pPr>
        <w:rPr>
          <w:rFonts w:ascii="Verdana" w:hAnsi="Verdana" w:cs="Times New Roman"/>
          <w:sz w:val="24"/>
          <w:szCs w:val="24"/>
        </w:rPr>
      </w:pPr>
    </w:p>
    <w:p w:rsidR="00AB4EDF" w:rsidRPr="00BA7D26" w:rsidRDefault="00AB4EDF" w:rsidP="00AB4EDF">
      <w:pPr>
        <w:rPr>
          <w:rFonts w:ascii="Verdana" w:hAnsi="Verdana"/>
          <w:sz w:val="24"/>
          <w:szCs w:val="24"/>
        </w:rPr>
      </w:pPr>
    </w:p>
    <w:p w:rsidR="004A5AFC" w:rsidRDefault="004A5AFC"/>
    <w:sectPr w:rsidR="004A5A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A0"/>
    <w:rsid w:val="002B0E35"/>
    <w:rsid w:val="004A5AFC"/>
    <w:rsid w:val="005F2155"/>
    <w:rsid w:val="00A262A0"/>
    <w:rsid w:val="00AB4EDF"/>
    <w:rsid w:val="00BF1200"/>
    <w:rsid w:val="00CA2C3F"/>
    <w:rsid w:val="00EF465E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EDF"/>
    <w:pPr>
      <w:suppressAutoHyphens/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AB4EDF"/>
    <w:rPr>
      <w:rFonts w:ascii="Cambria" w:eastAsia="Cambria" w:hAnsi="Cambria" w:cs="Cambria"/>
      <w:sz w:val="21"/>
      <w:szCs w:val="21"/>
    </w:rPr>
  </w:style>
  <w:style w:type="character" w:styleId="Hipercze">
    <w:name w:val="Hyperlink"/>
    <w:rsid w:val="00AB4EDF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B4EDF"/>
    <w:pPr>
      <w:widowControl w:val="0"/>
      <w:spacing w:after="0" w:line="240" w:lineRule="auto"/>
      <w:ind w:left="131"/>
      <w:jc w:val="both"/>
    </w:pPr>
    <w:rPr>
      <w:rFonts w:ascii="Cambria" w:eastAsia="Cambria" w:hAnsi="Cambria" w:cs="Cambria"/>
      <w:sz w:val="21"/>
      <w:szCs w:val="21"/>
    </w:rPr>
  </w:style>
  <w:style w:type="character" w:customStyle="1" w:styleId="TekstpodstawowyZnak1">
    <w:name w:val="Tekst podstawowy Znak1"/>
    <w:basedOn w:val="Domylnaczcionkaakapitu"/>
    <w:uiPriority w:val="99"/>
    <w:semiHidden/>
    <w:rsid w:val="00AB4EDF"/>
  </w:style>
  <w:style w:type="paragraph" w:styleId="NormalnyWeb">
    <w:name w:val="Normal (Web)"/>
    <w:basedOn w:val="Normalny"/>
    <w:uiPriority w:val="99"/>
    <w:semiHidden/>
    <w:unhideWhenUsed/>
    <w:rsid w:val="00AB4E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EDF"/>
    <w:pPr>
      <w:suppressAutoHyphens/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AB4EDF"/>
    <w:rPr>
      <w:rFonts w:ascii="Cambria" w:eastAsia="Cambria" w:hAnsi="Cambria" w:cs="Cambria"/>
      <w:sz w:val="21"/>
      <w:szCs w:val="21"/>
    </w:rPr>
  </w:style>
  <w:style w:type="character" w:styleId="Hipercze">
    <w:name w:val="Hyperlink"/>
    <w:rsid w:val="00AB4EDF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B4EDF"/>
    <w:pPr>
      <w:widowControl w:val="0"/>
      <w:spacing w:after="0" w:line="240" w:lineRule="auto"/>
      <w:ind w:left="131"/>
      <w:jc w:val="both"/>
    </w:pPr>
    <w:rPr>
      <w:rFonts w:ascii="Cambria" w:eastAsia="Cambria" w:hAnsi="Cambria" w:cs="Cambria"/>
      <w:sz w:val="21"/>
      <w:szCs w:val="21"/>
    </w:rPr>
  </w:style>
  <w:style w:type="character" w:customStyle="1" w:styleId="TekstpodstawowyZnak1">
    <w:name w:val="Tekst podstawowy Znak1"/>
    <w:basedOn w:val="Domylnaczcionkaakapitu"/>
    <w:uiPriority w:val="99"/>
    <w:semiHidden/>
    <w:rsid w:val="00AB4EDF"/>
  </w:style>
  <w:style w:type="paragraph" w:styleId="NormalnyWeb">
    <w:name w:val="Normal (Web)"/>
    <w:basedOn w:val="Normalny"/>
    <w:uiPriority w:val="99"/>
    <w:semiHidden/>
    <w:unhideWhenUsed/>
    <w:rsid w:val="00AB4E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lakowo.eu" TargetMode="External"/><Relationship Id="rId5" Type="http://schemas.openxmlformats.org/officeDocument/2006/relationships/hyperlink" Target="https://bip.milakow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5</cp:revision>
  <cp:lastPrinted>2024-05-21T09:43:00Z</cp:lastPrinted>
  <dcterms:created xsi:type="dcterms:W3CDTF">2024-05-17T11:19:00Z</dcterms:created>
  <dcterms:modified xsi:type="dcterms:W3CDTF">2024-05-27T13:54:00Z</dcterms:modified>
</cp:coreProperties>
</file>