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338" w:rsidRDefault="00EA6338" w:rsidP="00EA6338">
      <w:pPr>
        <w:spacing w:line="276" w:lineRule="auto"/>
        <w:jc w:val="center"/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  <w:sz w:val="22"/>
          <w:szCs w:val="22"/>
        </w:rPr>
        <w:t>BURMISTRZ   MIŁAKOWA</w:t>
      </w:r>
    </w:p>
    <w:p w:rsidR="00EA6338" w:rsidRDefault="00EA6338" w:rsidP="00EA6338">
      <w:pPr>
        <w:spacing w:line="276" w:lineRule="auto"/>
        <w:jc w:val="center"/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  <w:sz w:val="22"/>
          <w:szCs w:val="22"/>
        </w:rPr>
        <w:t>o g ł a s z a</w:t>
      </w:r>
    </w:p>
    <w:p w:rsidR="00EA6338" w:rsidRDefault="00EA6338" w:rsidP="00EA6338">
      <w:pPr>
        <w:spacing w:line="276" w:lineRule="auto"/>
        <w:jc w:val="center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I</w:t>
      </w:r>
      <w:r w:rsidR="002639CD">
        <w:rPr>
          <w:rFonts w:ascii="Verdana" w:hAnsi="Verdana" w:cs="Arial"/>
          <w:b/>
          <w:sz w:val="22"/>
          <w:szCs w:val="22"/>
        </w:rPr>
        <w:t>I</w:t>
      </w:r>
      <w:r>
        <w:rPr>
          <w:rFonts w:ascii="Verdana" w:hAnsi="Verdana" w:cs="Arial"/>
          <w:b/>
          <w:sz w:val="22"/>
          <w:szCs w:val="22"/>
        </w:rPr>
        <w:t xml:space="preserve"> przetarg ustny nieograniczony</w:t>
      </w:r>
    </w:p>
    <w:p w:rsidR="00EA6338" w:rsidRDefault="00EA6338" w:rsidP="00EA6338">
      <w:pPr>
        <w:spacing w:line="276" w:lineRule="auto"/>
        <w:jc w:val="center"/>
        <w:rPr>
          <w:rFonts w:ascii="Verdana" w:hAnsi="Verdana" w:cs="Arial"/>
          <w:b/>
          <w:sz w:val="22"/>
          <w:szCs w:val="22"/>
          <w:u w:val="single"/>
        </w:rPr>
      </w:pPr>
    </w:p>
    <w:p w:rsidR="00EA6338" w:rsidRDefault="00EA6338" w:rsidP="00EA6338">
      <w:pPr>
        <w:spacing w:line="276" w:lineRule="auto"/>
        <w:jc w:val="center"/>
        <w:rPr>
          <w:rFonts w:ascii="Verdana" w:hAnsi="Verdana" w:cs="Arial"/>
          <w:b/>
          <w:sz w:val="22"/>
          <w:szCs w:val="22"/>
          <w:u w:val="single"/>
        </w:rPr>
      </w:pPr>
      <w:r>
        <w:rPr>
          <w:rFonts w:ascii="Verdana" w:hAnsi="Verdana" w:cs="Arial"/>
          <w:b/>
          <w:sz w:val="22"/>
          <w:szCs w:val="22"/>
          <w:u w:val="single"/>
        </w:rPr>
        <w:t>na sprzedaż lokalu mieszkalnego nr 2 o powierzchni użytkowej 54,85 m</w:t>
      </w:r>
      <w:r>
        <w:rPr>
          <w:rFonts w:ascii="Verdana" w:hAnsi="Verdana" w:cs="Arial"/>
          <w:b/>
          <w:sz w:val="22"/>
          <w:szCs w:val="22"/>
          <w:u w:val="single"/>
          <w:vertAlign w:val="superscript"/>
        </w:rPr>
        <w:t>2</w:t>
      </w:r>
      <w:r>
        <w:rPr>
          <w:rFonts w:ascii="Verdana" w:hAnsi="Verdana" w:cs="Arial"/>
          <w:b/>
          <w:sz w:val="22"/>
          <w:szCs w:val="22"/>
          <w:u w:val="single"/>
        </w:rPr>
        <w:t>, położonego na parterze i poddaszu w budynku mieszkalnym nr 1 w miejscowości Gudniki, gmina Miłakowo.</w:t>
      </w:r>
    </w:p>
    <w:p w:rsidR="00EA6338" w:rsidRDefault="00EA6338" w:rsidP="00EA6338">
      <w:pPr>
        <w:spacing w:line="276" w:lineRule="auto"/>
        <w:jc w:val="center"/>
        <w:rPr>
          <w:rFonts w:ascii="Verdana" w:hAnsi="Verdana" w:cs="Arial"/>
          <w:b/>
          <w:sz w:val="22"/>
          <w:szCs w:val="22"/>
          <w:u w:val="single"/>
        </w:rPr>
      </w:pPr>
    </w:p>
    <w:p w:rsidR="00EA6338" w:rsidRDefault="00EA6338" w:rsidP="00EA6338">
      <w:pPr>
        <w:spacing w:line="276" w:lineRule="auto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Budynek oznaczony adresem Gudniki 1, w którym znajdują się dwa lokale mieszkalne, wybudowany został w latach 30 – tych ubiegłego wieku w technologii tradycyjnej, jako jednokondygnacyjny z częściowo użytkowym poddaszem. W latach 60-tych do szczytu budynku od strony południowo – zachodniej dobudowano fragment budynku, w której mieści się część lokalu nr 2. Dach budynku konstrukcji krokwiowej drewniany, dwuspadowy, pokryty płytami azbestowo – cementowymi z licznymi ubytkami i pęknięciami. Obróbki blacharskie komina oraz orynnowanie i orurowanie w złym stanie technicznym. Fundamenty z kamienia polnego, budynek nieocieplony. Tynki zewnętrzne cementowo – wapienne z licznymi uszkodzeniami.</w:t>
      </w:r>
    </w:p>
    <w:p w:rsidR="00EA6338" w:rsidRDefault="00EA6338" w:rsidP="00EA6338">
      <w:pPr>
        <w:spacing w:line="276" w:lineRule="auto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Lokal mieszkalny nr 2 usytuowany jest na parterze oraz na poddaszu. W skład lokalu wchodzą: na parterze: korytarz o pow. 5,65 m</w:t>
      </w:r>
      <w:r>
        <w:rPr>
          <w:rFonts w:ascii="Verdana" w:hAnsi="Verdana" w:cs="Arial"/>
          <w:sz w:val="22"/>
          <w:szCs w:val="22"/>
          <w:vertAlign w:val="superscript"/>
        </w:rPr>
        <w:t xml:space="preserve">2, </w:t>
      </w:r>
      <w:r>
        <w:rPr>
          <w:rFonts w:ascii="Verdana" w:hAnsi="Verdana" w:cs="Arial"/>
          <w:sz w:val="22"/>
          <w:szCs w:val="22"/>
        </w:rPr>
        <w:t>kuchnia o pow. 5,06 m</w:t>
      </w:r>
      <w:r>
        <w:rPr>
          <w:rFonts w:ascii="Verdana" w:hAnsi="Verdana" w:cs="Arial"/>
          <w:sz w:val="22"/>
          <w:szCs w:val="22"/>
          <w:vertAlign w:val="superscript"/>
        </w:rPr>
        <w:t>2</w:t>
      </w:r>
      <w:r>
        <w:rPr>
          <w:rFonts w:ascii="Verdana" w:hAnsi="Verdana" w:cs="Arial"/>
          <w:sz w:val="22"/>
          <w:szCs w:val="22"/>
        </w:rPr>
        <w:t xml:space="preserve"> , łazienka z WC o pow. 3,12 m</w:t>
      </w:r>
      <w:r>
        <w:rPr>
          <w:rFonts w:ascii="Verdana" w:hAnsi="Verdana" w:cs="Arial"/>
          <w:sz w:val="22"/>
          <w:szCs w:val="22"/>
          <w:vertAlign w:val="superscript"/>
        </w:rPr>
        <w:t xml:space="preserve">2 </w:t>
      </w:r>
      <w:r>
        <w:rPr>
          <w:rFonts w:ascii="Verdana" w:hAnsi="Verdana" w:cs="Arial"/>
          <w:sz w:val="22"/>
          <w:szCs w:val="22"/>
        </w:rPr>
        <w:t>, dwa pokoje o pow. 15,33 m</w:t>
      </w:r>
      <w:r>
        <w:rPr>
          <w:rFonts w:ascii="Verdana" w:hAnsi="Verdana" w:cs="Arial"/>
          <w:sz w:val="22"/>
          <w:szCs w:val="22"/>
          <w:vertAlign w:val="superscript"/>
        </w:rPr>
        <w:t xml:space="preserve">2 </w:t>
      </w:r>
      <w:r>
        <w:rPr>
          <w:rFonts w:ascii="Verdana" w:hAnsi="Verdana" w:cs="Arial"/>
          <w:sz w:val="22"/>
          <w:szCs w:val="22"/>
        </w:rPr>
        <w:t>i 17,11 m</w:t>
      </w:r>
      <w:r>
        <w:rPr>
          <w:rFonts w:ascii="Verdana" w:hAnsi="Verdana" w:cs="Arial"/>
          <w:sz w:val="22"/>
          <w:szCs w:val="22"/>
          <w:vertAlign w:val="superscript"/>
        </w:rPr>
        <w:t>2</w:t>
      </w:r>
      <w:r>
        <w:rPr>
          <w:rFonts w:ascii="Verdana" w:hAnsi="Verdana" w:cs="Arial"/>
          <w:sz w:val="22"/>
          <w:szCs w:val="22"/>
        </w:rPr>
        <w:t>, na poddaszu pokój o pow. 8,58 m</w:t>
      </w:r>
      <w:r>
        <w:rPr>
          <w:rFonts w:ascii="Verdana" w:hAnsi="Verdana" w:cs="Arial"/>
          <w:sz w:val="22"/>
          <w:szCs w:val="22"/>
          <w:vertAlign w:val="superscript"/>
        </w:rPr>
        <w:t>2</w:t>
      </w:r>
      <w:r>
        <w:rPr>
          <w:rFonts w:ascii="Verdana" w:hAnsi="Verdana" w:cs="Arial"/>
          <w:sz w:val="22"/>
          <w:szCs w:val="22"/>
        </w:rPr>
        <w:t>.</w:t>
      </w:r>
    </w:p>
    <w:p w:rsidR="00EA6338" w:rsidRDefault="00EA6338" w:rsidP="00EA6338">
      <w:pPr>
        <w:spacing w:line="276" w:lineRule="auto"/>
        <w:rPr>
          <w:rFonts w:ascii="Verdana" w:hAnsi="Verdana" w:cs="Arial"/>
          <w:sz w:val="22"/>
          <w:szCs w:val="22"/>
          <w:vertAlign w:val="superscript"/>
        </w:rPr>
      </w:pPr>
      <w:r>
        <w:rPr>
          <w:rFonts w:ascii="Verdana" w:hAnsi="Verdana" w:cs="Arial"/>
          <w:sz w:val="22"/>
          <w:szCs w:val="22"/>
        </w:rPr>
        <w:t>Lokal mieszkalny wymaga wykonania kapitalnego remontu, łącznie z wymianą lub naprawą instalacji wewnętrznych, urządzeń sanitarnych, okien oraz drzwi. W lokalu znajdują się niesprawne piece kaflowe. Lokal mieszkalny został wewnątrz zdewastowany, częściowo wyburzona została jedna ze ścian konstrukcyjnych, uszkodzone nadproża okienne. Woda do lokalu doprowadzona z ujęcia własnego, ścieki do zbiornika bezodpływowego.</w:t>
      </w:r>
    </w:p>
    <w:p w:rsidR="00EA6338" w:rsidRDefault="00EA6338" w:rsidP="00EA6338">
      <w:pPr>
        <w:spacing w:line="276" w:lineRule="auto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Sprzedaż lokalu nastąpi wraz z udziałem wynoszącym 481/1000 w działce gruntu oznaczonej nr 275/74 (o. Warkałki) o powierzchni 661 m</w:t>
      </w:r>
      <w:r>
        <w:rPr>
          <w:rFonts w:ascii="Verdana" w:hAnsi="Verdana" w:cs="Arial"/>
          <w:sz w:val="22"/>
          <w:szCs w:val="22"/>
          <w:vertAlign w:val="superscript"/>
        </w:rPr>
        <w:t>2</w:t>
      </w:r>
      <w:r>
        <w:rPr>
          <w:rFonts w:ascii="Verdana" w:hAnsi="Verdana" w:cs="Arial"/>
          <w:sz w:val="22"/>
          <w:szCs w:val="22"/>
        </w:rPr>
        <w:t xml:space="preserve"> oraz udziałem wynoszącym 481/1000 w częściach wspólnych budynku mieszkalnego. Nieruchomość posiada uregulowany stan prawny, opisany w</w:t>
      </w:r>
      <w:r>
        <w:rPr>
          <w:rFonts w:ascii="Verdana" w:hAnsi="Verdana" w:cs="Arial"/>
          <w:bCs/>
          <w:sz w:val="22"/>
          <w:szCs w:val="22"/>
        </w:rPr>
        <w:t xml:space="preserve"> księdze wieczystej nr EL2O/00021213/9.</w:t>
      </w:r>
    </w:p>
    <w:p w:rsidR="00EA6338" w:rsidRDefault="00EA6338" w:rsidP="00EA6338">
      <w:pPr>
        <w:spacing w:line="276" w:lineRule="auto"/>
        <w:jc w:val="center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oraz</w:t>
      </w:r>
    </w:p>
    <w:p w:rsidR="00EA6338" w:rsidRDefault="00EA6338" w:rsidP="00EA6338">
      <w:pPr>
        <w:spacing w:line="276" w:lineRule="auto"/>
        <w:jc w:val="center"/>
        <w:rPr>
          <w:rFonts w:ascii="Verdana" w:hAnsi="Verdana" w:cs="Arial"/>
          <w:b/>
          <w:sz w:val="22"/>
          <w:szCs w:val="22"/>
          <w:u w:val="single"/>
        </w:rPr>
      </w:pPr>
      <w:r>
        <w:rPr>
          <w:rFonts w:ascii="Verdana" w:hAnsi="Verdana" w:cs="Arial"/>
          <w:b/>
          <w:sz w:val="22"/>
          <w:szCs w:val="22"/>
          <w:u w:val="single"/>
        </w:rPr>
        <w:t>udziału w wysokości 261/1000 w nieruchomości oznaczonej numerem działki 275/2, zabudowanej dwoma budynkami gospodarczymi, położonej w miejscowości Gudniki, gmina Miłakowo.</w:t>
      </w:r>
    </w:p>
    <w:p w:rsidR="00EA6338" w:rsidRDefault="00EA6338" w:rsidP="00EA6338">
      <w:pPr>
        <w:spacing w:line="276" w:lineRule="auto"/>
        <w:jc w:val="center"/>
        <w:rPr>
          <w:rFonts w:ascii="Verdana" w:hAnsi="Verdana" w:cs="Arial"/>
          <w:b/>
          <w:sz w:val="22"/>
          <w:szCs w:val="22"/>
          <w:u w:val="single"/>
        </w:rPr>
      </w:pPr>
    </w:p>
    <w:p w:rsidR="00EA6338" w:rsidRDefault="00EA6338" w:rsidP="00EA6338">
      <w:pPr>
        <w:spacing w:line="276" w:lineRule="auto"/>
        <w:rPr>
          <w:rFonts w:ascii="Verdana" w:hAnsi="Verdana" w:cs="Arial"/>
          <w:bCs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Działka o numerze 275/2 posiada powierzchnię 900,00 m</w:t>
      </w:r>
      <w:r>
        <w:rPr>
          <w:rFonts w:ascii="Verdana" w:hAnsi="Verdana" w:cs="Arial"/>
          <w:sz w:val="22"/>
          <w:szCs w:val="22"/>
          <w:vertAlign w:val="superscript"/>
        </w:rPr>
        <w:t xml:space="preserve">2 </w:t>
      </w:r>
      <w:r>
        <w:rPr>
          <w:rFonts w:ascii="Verdana" w:hAnsi="Verdana" w:cs="Arial"/>
          <w:sz w:val="22"/>
          <w:szCs w:val="22"/>
        </w:rPr>
        <w:t>i zabudowana jest dwoma budynkami gospodarczymi. Budynek gospodarczy  drewniano murowany o powierzchni użytkowej 74,79 m</w:t>
      </w:r>
      <w:r>
        <w:rPr>
          <w:rFonts w:ascii="Verdana" w:hAnsi="Verdana" w:cs="Arial"/>
          <w:sz w:val="22"/>
          <w:szCs w:val="22"/>
          <w:vertAlign w:val="superscript"/>
        </w:rPr>
        <w:t>2</w:t>
      </w:r>
      <w:r>
        <w:rPr>
          <w:rFonts w:ascii="Verdana" w:hAnsi="Verdana" w:cs="Arial"/>
          <w:sz w:val="22"/>
          <w:szCs w:val="22"/>
        </w:rPr>
        <w:t xml:space="preserve">, wybudowany został w latach 30-tych ubiegłego wieku. Jedna część budynku wykonana w konstrukcji drewnianej obitej deskami w pionie, druga część budynku wykonana z cegły pełnej. Dach budynku konstrukcji krokwiowej, drewniany, dwuspadowy, pokryty dachówką ceramiczną typu holenderka. Posadzka w części murowanej cementowo – wapienna, w części </w:t>
      </w:r>
      <w:r>
        <w:rPr>
          <w:rFonts w:ascii="Verdana" w:hAnsi="Verdana" w:cs="Arial"/>
          <w:sz w:val="22"/>
          <w:szCs w:val="22"/>
        </w:rPr>
        <w:lastRenderedPageBreak/>
        <w:t>drewnianej – klepisko. Brak rynien i rur spustowych, stolarka drzwiowa drewniana. Budynek gospodarczo – garażowy murowany z częścią drewnianą na poziomie poddasza, o powierzchni użytkowej 24,30m</w:t>
      </w:r>
      <w:r>
        <w:rPr>
          <w:rFonts w:ascii="Verdana" w:hAnsi="Verdana" w:cs="Arial"/>
          <w:sz w:val="22"/>
          <w:szCs w:val="22"/>
          <w:vertAlign w:val="superscript"/>
        </w:rPr>
        <w:t>2</w:t>
      </w:r>
      <w:r>
        <w:rPr>
          <w:rFonts w:ascii="Verdana" w:hAnsi="Verdana" w:cs="Arial"/>
          <w:sz w:val="22"/>
          <w:szCs w:val="22"/>
        </w:rPr>
        <w:t>, wybudowany został w latach 80-tych ubiegłego wieku. Parter budynku wykonany z pustaków, poddasze magazynowe z desek. Dach budynku konstrukcji krokwiowej drewniany, dwuspadowy, pokryty eternitem falistym. Posadzka cementowo – wapienna. Brak rynien i rur spustowych. Nieruchomość posiada uregulowany stan prawny, opisany w</w:t>
      </w:r>
      <w:r>
        <w:rPr>
          <w:rFonts w:ascii="Verdana" w:hAnsi="Verdana" w:cs="Arial"/>
          <w:bCs/>
          <w:sz w:val="22"/>
          <w:szCs w:val="22"/>
        </w:rPr>
        <w:t xml:space="preserve"> księdze wieczystej nr EL2O/00021215/3.</w:t>
      </w:r>
    </w:p>
    <w:p w:rsidR="00EA6338" w:rsidRDefault="00EA6338" w:rsidP="00EA6338">
      <w:pPr>
        <w:spacing w:line="276" w:lineRule="auto"/>
        <w:jc w:val="center"/>
        <w:rPr>
          <w:rFonts w:ascii="Verdana" w:hAnsi="Verdana" w:cs="Arial"/>
          <w:sz w:val="22"/>
          <w:szCs w:val="22"/>
        </w:rPr>
      </w:pPr>
    </w:p>
    <w:p w:rsidR="00EA6338" w:rsidRDefault="00EA6338" w:rsidP="00EA6338">
      <w:pPr>
        <w:spacing w:line="276" w:lineRule="auto"/>
        <w:jc w:val="center"/>
        <w:rPr>
          <w:rFonts w:ascii="Verdana" w:hAnsi="Verdana" w:cs="Arial"/>
          <w:b/>
          <w:sz w:val="22"/>
          <w:szCs w:val="22"/>
          <w:u w:val="single"/>
        </w:rPr>
      </w:pPr>
      <w:r>
        <w:rPr>
          <w:rFonts w:ascii="Verdana" w:hAnsi="Verdana" w:cs="Arial"/>
          <w:b/>
          <w:sz w:val="22"/>
          <w:szCs w:val="22"/>
        </w:rPr>
        <w:t>W związku z faktem, że nieruchomość oznaczona numerem działki 275/2 wykorzystywana jest do obsługi budynku mieszkalnego Gudniki 1 sprzedaż wyżej opisanych nieruchomości nastąpi łącznie, na rzecz jednego podmiotu.</w:t>
      </w:r>
    </w:p>
    <w:p w:rsidR="00EA6338" w:rsidRDefault="00EA6338" w:rsidP="00EA6338">
      <w:pPr>
        <w:spacing w:line="276" w:lineRule="auto"/>
        <w:rPr>
          <w:rFonts w:ascii="Verdana" w:hAnsi="Verdana" w:cs="Arial"/>
          <w:bCs/>
          <w:sz w:val="22"/>
          <w:szCs w:val="22"/>
        </w:rPr>
      </w:pPr>
      <w:r>
        <w:rPr>
          <w:rFonts w:ascii="Verdana" w:hAnsi="Verdana" w:cs="Arial"/>
          <w:bCs/>
          <w:sz w:val="22"/>
          <w:szCs w:val="22"/>
        </w:rPr>
        <w:t>Termin do złożenia wniosku przez osoby, którym przysługuje pierwszeństwo w nabyciu nieruchomości na podstawie art. 34 ust. 1 pkt 1 i 2 ustawy z dnia</w:t>
      </w:r>
      <w:r>
        <w:rPr>
          <w:rFonts w:ascii="Verdana" w:hAnsi="Verdana"/>
          <w:sz w:val="22"/>
          <w:szCs w:val="22"/>
        </w:rPr>
        <w:t xml:space="preserve"> 21 sierpnia 1997r. o gospodarce nieruchomościami (t. j. Dz. U. z 2021r. poz. 1889 ze zm.) upłynął 26.01.2022 r.</w:t>
      </w:r>
      <w:r w:rsidRPr="00EA6338">
        <w:rPr>
          <w:rFonts w:ascii="Verdana" w:hAnsi="Verdana"/>
        </w:rPr>
        <w:t xml:space="preserve"> </w:t>
      </w:r>
      <w:r w:rsidRPr="00EA6338">
        <w:rPr>
          <w:rFonts w:ascii="Verdana" w:hAnsi="Verdana"/>
          <w:sz w:val="22"/>
          <w:szCs w:val="22"/>
        </w:rPr>
        <w:t>Termin I przetargu ustnego nieograniczonego na sprzedaż pr</w:t>
      </w:r>
      <w:r>
        <w:rPr>
          <w:rFonts w:ascii="Verdana" w:hAnsi="Verdana"/>
          <w:sz w:val="22"/>
          <w:szCs w:val="22"/>
        </w:rPr>
        <w:t>zedmiotowej nieruchomości – 14</w:t>
      </w:r>
      <w:r w:rsidRPr="00EA6338">
        <w:rPr>
          <w:rFonts w:ascii="Verdana" w:hAnsi="Verdana"/>
          <w:sz w:val="22"/>
          <w:szCs w:val="22"/>
        </w:rPr>
        <w:t>.03.2022 r.</w:t>
      </w:r>
    </w:p>
    <w:p w:rsidR="00EA6338" w:rsidRDefault="00EA6338" w:rsidP="00EA6338">
      <w:pPr>
        <w:spacing w:line="276" w:lineRule="auto"/>
        <w:ind w:left="1416"/>
        <w:rPr>
          <w:rFonts w:ascii="Verdana" w:hAnsi="Verdana" w:cs="Arial"/>
          <w:sz w:val="22"/>
          <w:szCs w:val="22"/>
        </w:rPr>
      </w:pPr>
    </w:p>
    <w:p w:rsidR="00EA6338" w:rsidRDefault="00EA6338" w:rsidP="00EA6338">
      <w:pPr>
        <w:spacing w:line="276" w:lineRule="auto"/>
        <w:ind w:left="1416"/>
        <w:jc w:val="center"/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  <w:sz w:val="22"/>
          <w:szCs w:val="22"/>
        </w:rPr>
        <w:t>Cena wywoławcza wynosi                               49 900,00 zł</w:t>
      </w:r>
    </w:p>
    <w:p w:rsidR="00EA6338" w:rsidRDefault="00EA6338" w:rsidP="00EA6338">
      <w:pPr>
        <w:spacing w:line="276" w:lineRule="auto"/>
        <w:ind w:left="1416"/>
        <w:jc w:val="center"/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  <w:sz w:val="22"/>
          <w:szCs w:val="22"/>
        </w:rPr>
        <w:t>Wadium                                                              5 000,00 zł</w:t>
      </w:r>
    </w:p>
    <w:p w:rsidR="00EA6338" w:rsidRDefault="00EA6338" w:rsidP="00EA6338">
      <w:pPr>
        <w:spacing w:line="276" w:lineRule="auto"/>
        <w:ind w:left="1416"/>
        <w:rPr>
          <w:rFonts w:ascii="Verdana" w:hAnsi="Verdana" w:cs="Arial"/>
          <w:b/>
          <w:bCs/>
          <w:sz w:val="22"/>
          <w:szCs w:val="22"/>
        </w:rPr>
      </w:pPr>
    </w:p>
    <w:p w:rsidR="00EA6338" w:rsidRDefault="00EA6338" w:rsidP="00EA6338">
      <w:pPr>
        <w:spacing w:line="276" w:lineRule="auto"/>
        <w:jc w:val="center"/>
        <w:rPr>
          <w:rFonts w:ascii="Verdana" w:hAnsi="Verdana" w:cs="Arial"/>
          <w:b/>
          <w:bCs/>
          <w:color w:val="FF0000"/>
          <w:sz w:val="22"/>
          <w:szCs w:val="22"/>
          <w:u w:val="single"/>
        </w:rPr>
      </w:pPr>
      <w:r>
        <w:rPr>
          <w:rFonts w:ascii="Verdana" w:hAnsi="Verdana" w:cs="Arial"/>
          <w:b/>
          <w:bCs/>
          <w:color w:val="FF0000"/>
          <w:sz w:val="22"/>
          <w:szCs w:val="22"/>
          <w:u w:val="single"/>
        </w:rPr>
        <w:t>Przetarg odbędzie się w dniu 05.05.2022 r. w siedzibie Urzędu Miejskiego w  Miłakowie, ul. Olsztyńska 16, pokój nr 21,  godz. 10:00</w:t>
      </w:r>
    </w:p>
    <w:p w:rsidR="00EA6338" w:rsidRDefault="00EA6338" w:rsidP="00EA6338">
      <w:pPr>
        <w:spacing w:line="276" w:lineRule="auto"/>
        <w:jc w:val="both"/>
        <w:rPr>
          <w:rFonts w:ascii="Verdana" w:hAnsi="Verdana"/>
          <w:b/>
          <w:bCs/>
          <w:sz w:val="22"/>
          <w:szCs w:val="22"/>
          <w:u w:val="single"/>
        </w:rPr>
      </w:pPr>
    </w:p>
    <w:p w:rsidR="00EA6338" w:rsidRDefault="00EA6338" w:rsidP="00EA6338">
      <w:pPr>
        <w:pStyle w:val="Tekstpodstawowy"/>
        <w:spacing w:line="276" w:lineRule="auto"/>
        <w:jc w:val="lef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Sprzedaż  nieruchomości  jest  zwolniona z podatku VAT zgodnie z art. 43 ust. 1 pkt 10 ustawy z dnia 11 marca 2004r. o podatku od towarów i usług /t. j. z 2020r. poz. 106 ze zm./.</w:t>
      </w:r>
    </w:p>
    <w:p w:rsidR="00EA6338" w:rsidRDefault="00EA6338" w:rsidP="00EA6338">
      <w:pPr>
        <w:spacing w:line="276" w:lineRule="auto"/>
        <w:rPr>
          <w:rFonts w:ascii="Verdana" w:hAnsi="Verdana"/>
          <w:sz w:val="22"/>
          <w:szCs w:val="22"/>
        </w:rPr>
      </w:pPr>
      <w:r>
        <w:rPr>
          <w:rFonts w:ascii="Verdana" w:hAnsi="Verdana" w:cs="Arial"/>
          <w:b/>
          <w:bCs/>
          <w:sz w:val="22"/>
          <w:szCs w:val="22"/>
        </w:rPr>
        <w:t>Cena nieruchomości ustalona w drodze przetargu powiększona zostanie o koszty przygotowania nieruchomości do sprzedaży w kwocie 1 161,00 zł.</w:t>
      </w:r>
    </w:p>
    <w:p w:rsidR="00EA6338" w:rsidRDefault="00EA6338" w:rsidP="00EA6338">
      <w:pPr>
        <w:spacing w:line="276" w:lineRule="auto"/>
        <w:rPr>
          <w:rFonts w:ascii="Verdana" w:hAnsi="Verdana" w:cs="Tahoma"/>
          <w:color w:val="333333"/>
          <w:sz w:val="22"/>
          <w:szCs w:val="22"/>
          <w:shd w:val="clear" w:color="auto" w:fill="FFFFFF"/>
        </w:rPr>
      </w:pPr>
      <w:r>
        <w:rPr>
          <w:rFonts w:ascii="Verdana" w:hAnsi="Verdana" w:cs="Arial"/>
          <w:sz w:val="22"/>
          <w:szCs w:val="22"/>
        </w:rPr>
        <w:t xml:space="preserve">Warunkiem przystąpienia do przetargu jest wpłacenie wadium w wysokości podanej powyżej w kasie Urzędu Miejskiego w Miłakowie lub na rachunek bankowy Urzędu Miejskiego w Miłakowie WBS O/Miłakowo  nr 27 8857 1038 3001 0000 0202 0004 w terminie </w:t>
      </w:r>
      <w:r>
        <w:rPr>
          <w:rFonts w:ascii="Verdana" w:hAnsi="Verdana" w:cs="Arial"/>
          <w:b/>
          <w:bCs/>
          <w:sz w:val="22"/>
          <w:szCs w:val="22"/>
        </w:rPr>
        <w:t xml:space="preserve">do dnia </w:t>
      </w:r>
      <w:r>
        <w:rPr>
          <w:rFonts w:ascii="Verdana" w:hAnsi="Verdana" w:cs="Arial"/>
          <w:b/>
          <w:bCs/>
          <w:color w:val="FF0000"/>
          <w:sz w:val="22"/>
          <w:szCs w:val="22"/>
        </w:rPr>
        <w:t>29.04.2022 r.</w:t>
      </w:r>
      <w:r>
        <w:rPr>
          <w:rFonts w:ascii="Verdana" w:hAnsi="Verdana" w:cs="Tahoma"/>
          <w:color w:val="FF0000"/>
          <w:sz w:val="22"/>
          <w:szCs w:val="22"/>
          <w:shd w:val="clear" w:color="auto" w:fill="FFFFFF"/>
        </w:rPr>
        <w:t xml:space="preserve"> </w:t>
      </w:r>
    </w:p>
    <w:p w:rsidR="00EA6338" w:rsidRDefault="00EA6338" w:rsidP="00EA6338">
      <w:pPr>
        <w:suppressAutoHyphens/>
        <w:spacing w:line="276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Geodezyjne okazanie granic zbywanych nieruchomości przez uprawnionego geodetę może nastąpić na wniosek i koszt nabywcy.</w:t>
      </w:r>
    </w:p>
    <w:p w:rsidR="00EA6338" w:rsidRDefault="00EA6338" w:rsidP="00EA6338">
      <w:pPr>
        <w:suppressAutoHyphens/>
        <w:spacing w:line="276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  <w:shd w:val="clear" w:color="auto" w:fill="FFFFFF"/>
        </w:rPr>
        <w:t>Dokument tożsamości oraz dowód wniesienia wadium przez uczestnika przetargu podlega przedłożeniu komisji przetargowej przed otwarciem przetargu.</w:t>
      </w:r>
    </w:p>
    <w:p w:rsidR="00EA6338" w:rsidRDefault="00EA6338" w:rsidP="00EA6338">
      <w:pPr>
        <w:suppressAutoHyphens/>
        <w:spacing w:line="276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Wadium wpłacone przez uczestnika, który wygra przetarg, zostanie zaliczone na poczet ceny nabycia. Pozostałym uczestnikom, wadium zwraca się po zakończeniu przetargu, jednak nie później niż przed upływem 3 dni od daty zakończenia przetargu.</w:t>
      </w:r>
    </w:p>
    <w:p w:rsidR="00EA6338" w:rsidRDefault="00EA6338" w:rsidP="00EA6338">
      <w:pPr>
        <w:suppressAutoHyphens/>
        <w:spacing w:line="276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W przypadku wspólności ustawowej wadium na przetarg należy wnieść przez oboje małżonków, ponadto wymagana jest obecność obojga małżonków na </w:t>
      </w:r>
      <w:r>
        <w:rPr>
          <w:rFonts w:ascii="Verdana" w:hAnsi="Verdana"/>
          <w:sz w:val="22"/>
          <w:szCs w:val="22"/>
        </w:rPr>
        <w:lastRenderedPageBreak/>
        <w:t>przetargu lub zwykłe pełnomocnictwo udzielone przez nieobecnego małżonka do wniesienia wadium, uczestnictwa w przetargu w jego imieniu i składania oświadczeń związanych z przetargiem. Zgodnie z art. 37 § 1 pkt 1 ustawy z dnia 25 lutego 1964r. Kodeks rodzinny i opiekuńczy do dokonania czynności prawnej prowadzącej do zbycia, obciążenia, odpłatnego nabycia nieruchomości potrzebna jest zgoda drugiego małżonka.</w:t>
      </w:r>
    </w:p>
    <w:p w:rsidR="00EA6338" w:rsidRDefault="00EA6338" w:rsidP="00EA6338">
      <w:pPr>
        <w:suppressAutoHyphens/>
        <w:spacing w:line="276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Osoba ustalona jako nabywca zostanie zawiadomiona o miejscu i terminie zawarcia umowy sprzedaży nieruchomości, najpóźniej w ciągu 21 dni, od dnia rozstrzygnięcia przetargu.</w:t>
      </w:r>
    </w:p>
    <w:p w:rsidR="00EA6338" w:rsidRDefault="00EA6338" w:rsidP="00EA6338">
      <w:pPr>
        <w:suppressAutoHyphens/>
        <w:spacing w:line="276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Jeżeli osoba ustalona jako nabywca nieruchomości nie przystąpi bez usprawiedliwienia do zawarcia umowy w miejscu i terminie podanych w zawiadomieniu, organizator przetargu może odstąpić od zawarcia umowy, a wpłacone wadium nie podlega zwrotowi. </w:t>
      </w:r>
    </w:p>
    <w:p w:rsidR="00EA6338" w:rsidRDefault="00EA6338" w:rsidP="00EA6338">
      <w:pPr>
        <w:suppressAutoHyphens/>
        <w:spacing w:line="276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  <w:u w:val="single"/>
        </w:rPr>
        <w:t>Cena sprzedaży nieruchomości nie podlega rozłożeniu na raty i płatna jest w pełnej wysokości przed zawarciem notarialnej umowy sprzedaży.</w:t>
      </w:r>
    </w:p>
    <w:p w:rsidR="00EA6338" w:rsidRDefault="00EA6338" w:rsidP="00EA6338">
      <w:pPr>
        <w:suppressAutoHyphens/>
        <w:spacing w:line="276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Bliższych informacji dotyczących w/w nieruchomości można uzyskać w Urzędzie Miejskim w  Miłakowie, pok. nr 10 lub 4 oraz pod nr telefonu (089) 757 83 46 lub (089) 757 83 35,</w:t>
      </w:r>
      <w:r>
        <w:rPr>
          <w:rFonts w:ascii="Verdana" w:hAnsi="Verdana" w:cs="Arial"/>
          <w:sz w:val="22"/>
          <w:szCs w:val="22"/>
        </w:rPr>
        <w:t xml:space="preserve"> istnieje również możliwość obejrzenia opisanych nieruchomości, po uprzednim telefonicznym umówieniu terminu.</w:t>
      </w:r>
    </w:p>
    <w:p w:rsidR="00EA6338" w:rsidRDefault="00EA6338" w:rsidP="00EA6338">
      <w:pPr>
        <w:spacing w:before="120" w:line="276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Ogłoszenie o przetargu podano do publicznej wiadomości poprzez publikację w prasie, zamieszczono na tablicy ogłoszeń Urzędu Miejskiego w Miłakowie, </w:t>
      </w:r>
      <w:r>
        <w:rPr>
          <w:rFonts w:ascii="Verdana" w:hAnsi="Verdana" w:cs="Arial"/>
          <w:sz w:val="22"/>
          <w:szCs w:val="22"/>
        </w:rPr>
        <w:t xml:space="preserve">ogłoszenie dostępne jest również na stronie internetowej </w:t>
      </w:r>
      <w:hyperlink r:id="rId4" w:history="1">
        <w:r>
          <w:rPr>
            <w:rStyle w:val="Hipercze"/>
            <w:rFonts w:ascii="Verdana" w:hAnsi="Verdana"/>
            <w:color w:val="auto"/>
            <w:sz w:val="22"/>
            <w:szCs w:val="22"/>
            <w:u w:val="none"/>
          </w:rPr>
          <w:t>http://bip.milakowo.eu</w:t>
        </w:r>
      </w:hyperlink>
      <w:r>
        <w:rPr>
          <w:rFonts w:ascii="Verdana" w:hAnsi="Verdana"/>
          <w:sz w:val="22"/>
          <w:szCs w:val="22"/>
        </w:rPr>
        <w:t>.</w:t>
      </w:r>
    </w:p>
    <w:p w:rsidR="00EA6338" w:rsidRDefault="00EA6338" w:rsidP="00EA6338">
      <w:pPr>
        <w:suppressAutoHyphens/>
        <w:spacing w:line="276" w:lineRule="auto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327057" w:rsidRPr="00327057" w:rsidRDefault="00327057" w:rsidP="00327057">
      <w:pPr>
        <w:suppressAutoHyphens/>
        <w:spacing w:line="360" w:lineRule="auto"/>
        <w:rPr>
          <w:rFonts w:ascii="Verdana" w:hAnsi="Verdana"/>
        </w:rPr>
      </w:pPr>
    </w:p>
    <w:p w:rsidR="00327057" w:rsidRPr="00327057" w:rsidRDefault="00327057" w:rsidP="00327057">
      <w:pPr>
        <w:suppressAutoHyphens/>
        <w:spacing w:line="360" w:lineRule="auto"/>
        <w:jc w:val="right"/>
        <w:rPr>
          <w:rFonts w:ascii="Verdana" w:hAnsi="Verdana"/>
        </w:rPr>
      </w:pPr>
      <w:bookmarkStart w:id="0" w:name="_GoBack"/>
      <w:r w:rsidRPr="00327057">
        <w:rPr>
          <w:rFonts w:ascii="Verdana" w:hAnsi="Verdana"/>
        </w:rPr>
        <w:t>Burmistrz</w:t>
      </w:r>
    </w:p>
    <w:p w:rsidR="00327057" w:rsidRPr="00327057" w:rsidRDefault="00327057" w:rsidP="00327057">
      <w:pPr>
        <w:suppressAutoHyphens/>
        <w:spacing w:line="360" w:lineRule="auto"/>
        <w:jc w:val="right"/>
        <w:rPr>
          <w:rFonts w:ascii="Verdana" w:hAnsi="Verdana"/>
        </w:rPr>
      </w:pPr>
      <w:r w:rsidRPr="00327057">
        <w:rPr>
          <w:rFonts w:ascii="Verdana" w:hAnsi="Verdana"/>
        </w:rPr>
        <w:t xml:space="preserve">/-/ Krzysztof </w:t>
      </w:r>
      <w:proofErr w:type="spellStart"/>
      <w:r w:rsidRPr="00327057">
        <w:rPr>
          <w:rFonts w:ascii="Verdana" w:hAnsi="Verdana"/>
        </w:rPr>
        <w:t>Szulborski</w:t>
      </w:r>
      <w:proofErr w:type="spellEnd"/>
    </w:p>
    <w:bookmarkEnd w:id="0"/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2639CD" w:rsidRDefault="002639CD" w:rsidP="00EA6338">
      <w:pPr>
        <w:jc w:val="center"/>
        <w:rPr>
          <w:rFonts w:ascii="Verdana" w:hAnsi="Verdana"/>
          <w:sz w:val="22"/>
          <w:szCs w:val="22"/>
        </w:rPr>
      </w:pPr>
    </w:p>
    <w:p w:rsidR="002639CD" w:rsidRDefault="002639CD" w:rsidP="00EA6338">
      <w:pPr>
        <w:jc w:val="center"/>
        <w:rPr>
          <w:rFonts w:ascii="Verdana" w:hAnsi="Verdana"/>
          <w:sz w:val="22"/>
          <w:szCs w:val="22"/>
        </w:rPr>
      </w:pPr>
    </w:p>
    <w:p w:rsidR="002639CD" w:rsidRDefault="002639CD" w:rsidP="00EA6338">
      <w:pPr>
        <w:jc w:val="center"/>
        <w:rPr>
          <w:rFonts w:ascii="Verdana" w:hAnsi="Verdana"/>
          <w:sz w:val="22"/>
          <w:szCs w:val="22"/>
        </w:rPr>
      </w:pPr>
    </w:p>
    <w:p w:rsidR="002639CD" w:rsidRDefault="002639CD" w:rsidP="00EA6338">
      <w:pPr>
        <w:jc w:val="center"/>
        <w:rPr>
          <w:rFonts w:ascii="Verdana" w:hAnsi="Verdana"/>
          <w:sz w:val="22"/>
          <w:szCs w:val="22"/>
        </w:rPr>
      </w:pPr>
    </w:p>
    <w:p w:rsidR="002639CD" w:rsidRDefault="002639CD" w:rsidP="00EA6338">
      <w:pPr>
        <w:jc w:val="center"/>
        <w:rPr>
          <w:rFonts w:ascii="Verdana" w:hAnsi="Verdana"/>
          <w:sz w:val="22"/>
          <w:szCs w:val="22"/>
        </w:rPr>
      </w:pPr>
    </w:p>
    <w:p w:rsidR="002639CD" w:rsidRDefault="002639CD" w:rsidP="00EA6338">
      <w:pPr>
        <w:jc w:val="center"/>
        <w:rPr>
          <w:rFonts w:ascii="Verdana" w:hAnsi="Verdana"/>
          <w:sz w:val="22"/>
          <w:szCs w:val="22"/>
        </w:rPr>
      </w:pPr>
    </w:p>
    <w:p w:rsidR="002639CD" w:rsidRDefault="002639CD" w:rsidP="00EA6338">
      <w:pPr>
        <w:jc w:val="center"/>
        <w:rPr>
          <w:rFonts w:ascii="Verdana" w:hAnsi="Verdana"/>
          <w:sz w:val="22"/>
          <w:szCs w:val="22"/>
        </w:rPr>
      </w:pPr>
    </w:p>
    <w:p w:rsidR="002639CD" w:rsidRDefault="002639CD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ZAŁĄCZNIK nr 1  DO OGŁOSZENIA O PRZETARGU USTNYM NIEOGRANICZONYM NA SPRZEDAŻ NIERUCHOMOŚCI, Z DNIA 05.05.2022 r.</w:t>
      </w:r>
    </w:p>
    <w:p w:rsidR="00EA6338" w:rsidRDefault="00EA6338" w:rsidP="00EA6338">
      <w:pPr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Szkic lokalu mieszkalnego Gudniki 1 m. 2</w:t>
      </w:r>
    </w:p>
    <w:p w:rsidR="00EA6338" w:rsidRDefault="00EA6338" w:rsidP="00EA633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4630420" cy="7159625"/>
            <wp:effectExtent l="0" t="0" r="0" b="3175"/>
            <wp:docPr id="2" name="Obraz 2" descr="Załącznik do ogłoszenia o przetar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ałącznik do ogłoszenia o przetarg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71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ZAŁĄCZNIK nr 2  DO OGŁOSZENIA O PRZETARGU USTNYM NIEOGRANICZONYM NA SPRZEDAŻ NIERUCHOMOŚCI, Z DNIA 05.05.2022 r.</w:t>
      </w: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Mapa poglądowa nieruchomości oznaczonych numerami działek 275/74 i 275/2 położonych w miejscowości Gudniki, gmina Miłakowo</w:t>
      </w:r>
    </w:p>
    <w:p w:rsidR="00EA6338" w:rsidRDefault="00EA6338" w:rsidP="00EA6338">
      <w:pPr>
        <w:jc w:val="center"/>
        <w:rPr>
          <w:rFonts w:ascii="Verdana" w:hAnsi="Verdana"/>
          <w:sz w:val="22"/>
          <w:szCs w:val="22"/>
        </w:rPr>
      </w:pPr>
    </w:p>
    <w:p w:rsidR="00EA6338" w:rsidRDefault="00EA6338" w:rsidP="00EA6338">
      <w:pPr>
        <w:spacing w:line="276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5758815" cy="5544820"/>
            <wp:effectExtent l="0" t="0" r="0" b="0"/>
            <wp:docPr id="1" name="Obraz 1" descr="rzut działek gud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rzut działek gudnik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55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F6" w:rsidRDefault="005A6FF6"/>
    <w:sectPr w:rsidR="005A6F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A6A"/>
    <w:rsid w:val="002639CD"/>
    <w:rsid w:val="00327057"/>
    <w:rsid w:val="00437DAD"/>
    <w:rsid w:val="005A6FF6"/>
    <w:rsid w:val="00760A6A"/>
    <w:rsid w:val="00EA6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D27362-4C3C-46FD-ADB4-535DCDAB7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A63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A6338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EA6338"/>
    <w:pPr>
      <w:jc w:val="both"/>
    </w:pPr>
    <w:rPr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A6338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39C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9CD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4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bip.milakowo.eu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1035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Tomasz</dc:creator>
  <cp:keywords/>
  <dc:description/>
  <cp:lastModifiedBy>Anna Tomasz</cp:lastModifiedBy>
  <cp:revision>3</cp:revision>
  <cp:lastPrinted>2022-03-30T09:23:00Z</cp:lastPrinted>
  <dcterms:created xsi:type="dcterms:W3CDTF">2022-03-29T12:12:00Z</dcterms:created>
  <dcterms:modified xsi:type="dcterms:W3CDTF">2022-03-30T10:13:00Z</dcterms:modified>
</cp:coreProperties>
</file>