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F4C" w:rsidRDefault="00FF3F0C">
      <w:pPr>
        <w:ind w:left="120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>Tabela nr  1</w:t>
      </w:r>
    </w:p>
    <w:p w:rsidR="00FA4F4C" w:rsidRDefault="00FA4F4C">
      <w:pPr>
        <w:ind w:left="120" w:right="1180"/>
        <w:rPr>
          <w:rFonts w:ascii="Times New Roman" w:hAnsi="Times New Roman" w:cs="Times New Roman"/>
          <w:b/>
          <w:bCs/>
          <w:sz w:val="18"/>
          <w:szCs w:val="18"/>
        </w:rPr>
      </w:pPr>
    </w:p>
    <w:p w:rsidR="00FA4F4C" w:rsidRDefault="00FF3F0C">
      <w:pPr>
        <w:ind w:left="119" w:right="117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Szczegółowy zakres zmian wartości grup rodzajowych środków trwałych, zbiorów bibliotecznych, wartości niematerialnych i prawnych, zawierający stan tych aktywów na początek roku obrotowego, zwiększenia i zmniejszenia z tytułu: przychodów (nabycia), aktualizacji, przemieszczenia wewnętrznego, zbycia, likwidacji i inne oraz stan końcowy na dzień 31 grudnia 20XX roku.</w:t>
      </w:r>
    </w:p>
    <w:p w:rsidR="00FA4F4C" w:rsidRDefault="00FA4F4C"/>
    <w:tbl>
      <w:tblPr>
        <w:tblW w:w="1565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1"/>
        <w:gridCol w:w="1365"/>
        <w:gridCol w:w="795"/>
        <w:gridCol w:w="960"/>
        <w:gridCol w:w="1160"/>
        <w:gridCol w:w="1399"/>
        <w:gridCol w:w="906"/>
        <w:gridCol w:w="900"/>
        <w:gridCol w:w="1080"/>
        <w:gridCol w:w="1695"/>
        <w:gridCol w:w="1879"/>
      </w:tblGrid>
      <w:tr w:rsidR="00FA4F4C">
        <w:trPr>
          <w:trHeight w:val="936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A4F4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age1"/>
            <w:bookmarkEnd w:id="1"/>
          </w:p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grupy rodzajowej składnika aktywów</w:t>
            </w:r>
          </w:p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16"/>
                <w:szCs w:val="16"/>
              </w:rPr>
              <w:t>według układu w bilansie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w w:val="9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16"/>
                <w:szCs w:val="16"/>
              </w:rPr>
              <w:t>Wartość</w:t>
            </w:r>
          </w:p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w w:val="9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16"/>
                <w:szCs w:val="16"/>
              </w:rPr>
              <w:t>początkowa</w:t>
            </w:r>
          </w:p>
          <w:p w:rsidR="00FA4F4C" w:rsidRDefault="00FF3F0C">
            <w:pPr>
              <w:spacing w:line="240" w:lineRule="atLeast"/>
              <w:ind w:right="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(brutto)</w:t>
            </w:r>
          </w:p>
          <w:p w:rsidR="00FA4F4C" w:rsidRDefault="00FF3F0C">
            <w:pPr>
              <w:spacing w:line="240" w:lineRule="atLeast"/>
              <w:ind w:left="3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– stan na</w:t>
            </w:r>
          </w:p>
          <w:p w:rsidR="00FA4F4C" w:rsidRDefault="00FF3F0C">
            <w:pPr>
              <w:spacing w:line="116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początek roku</w:t>
            </w:r>
          </w:p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w w:val="98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16"/>
                <w:szCs w:val="16"/>
              </w:rPr>
              <w:t>obrotowego</w:t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53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Zwiększenie wartości początkowej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Ogółem</w:t>
            </w:r>
          </w:p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w w:val="97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14"/>
                <w:szCs w:val="14"/>
              </w:rPr>
              <w:t>zwiększenie</w:t>
            </w:r>
          </w:p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wartości</w:t>
            </w:r>
          </w:p>
          <w:p w:rsidR="00FA4F4C" w:rsidRDefault="00FF3F0C">
            <w:pPr>
              <w:spacing w:line="116" w:lineRule="exact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początkowej</w:t>
            </w:r>
          </w:p>
          <w:p w:rsidR="00FA4F4C" w:rsidRDefault="00FF3F0C">
            <w:pPr>
              <w:spacing w:line="240" w:lineRule="atLeast"/>
              <w:ind w:right="3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(3 + 4 + 5)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left="26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Zmniejszenie wartości początkowej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left="30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Ogółem zmniejszenie</w:t>
            </w:r>
          </w:p>
          <w:p w:rsidR="00FA4F4C" w:rsidRDefault="00FF3F0C">
            <w:pPr>
              <w:spacing w:line="240" w:lineRule="atLeast"/>
              <w:ind w:left="28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wartości początkowej</w:t>
            </w:r>
          </w:p>
          <w:p w:rsidR="00FA4F4C" w:rsidRDefault="00FF3F0C">
            <w:pPr>
              <w:spacing w:line="116" w:lineRule="exact"/>
              <w:ind w:right="5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(7 + 8 + 9)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w w:val="99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14"/>
                <w:szCs w:val="14"/>
              </w:rPr>
              <w:t>Wartość początkowa – stan na</w:t>
            </w:r>
          </w:p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koniec roku obrotowego</w:t>
            </w:r>
          </w:p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14"/>
                <w:szCs w:val="14"/>
              </w:rPr>
              <w:t>(2 + 6 – 10)</w:t>
            </w:r>
          </w:p>
        </w:tc>
      </w:tr>
      <w:tr w:rsidR="00FA4F4C">
        <w:trPr>
          <w:trHeight w:val="589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A4F4C">
            <w:pPr>
              <w:spacing w:line="240" w:lineRule="atLeas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A4F4C">
            <w:pPr>
              <w:spacing w:line="24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przychód (nabycie)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7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aktualizacja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1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przemieszczenie wewnętrzne (*)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A4F4C">
            <w:pPr>
              <w:spacing w:line="240" w:lineRule="atLeast"/>
              <w:ind w:right="33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zbycie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70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14"/>
                <w:szCs w:val="14"/>
              </w:rPr>
              <w:t>likwidacja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50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inne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A4F4C">
            <w:pPr>
              <w:spacing w:line="116" w:lineRule="exact"/>
              <w:ind w:right="55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A4F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w w:val="99"/>
                <w:sz w:val="14"/>
                <w:szCs w:val="14"/>
              </w:rPr>
            </w:pPr>
          </w:p>
        </w:tc>
      </w:tr>
      <w:tr w:rsidR="00FA4F4C">
        <w:trPr>
          <w:trHeight w:val="2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w w:val="85"/>
                <w:sz w:val="14"/>
                <w:szCs w:val="1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39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37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53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591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27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43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37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771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:rsidR="00FA4F4C" w:rsidRDefault="00FF3F0C">
            <w:pPr>
              <w:spacing w:line="240" w:lineRule="atLeast"/>
              <w:ind w:right="89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</w:tr>
      <w:tr w:rsidR="00FA4F4C">
        <w:trPr>
          <w:trHeight w:val="5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spacing w:line="3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Wartości niematerialne i prawne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 w:rsidP="00FF3F0C">
            <w:pPr>
              <w:shd w:val="clear" w:color="auto" w:fill="FFFFFF"/>
              <w:spacing w:line="340" w:lineRule="exact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2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spacing w:line="3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Razem środki trwałe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2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spacing w:line="3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Grunty (gr. 0 KŚT)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2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2.1.1. Grunty stanowiące własność </w:t>
            </w:r>
            <w:proofErr w:type="spellStart"/>
            <w:r>
              <w:rPr>
                <w:rFonts w:ascii="Times New Roman" w:hAnsi="Times New Roman" w:cs="Times New Roman"/>
              </w:rPr>
              <w:t>jst</w:t>
            </w:r>
            <w:proofErr w:type="spellEnd"/>
            <w:r>
              <w:rPr>
                <w:rFonts w:ascii="Times New Roman" w:hAnsi="Times New Roman" w:cs="Times New Roman"/>
              </w:rPr>
              <w:t>, przekazane w użytkowanie wieczyste innym podmiotom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2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Budynki, lokale i obiekty inżynierii lądowej i wodnej (gr. 1-2 KŚT)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2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2.3. Urządzenia techniczne i maszyny  (gr. 3-6 KŚT), w tym: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42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spacing w:line="3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2.3.1. Środki trwałe (konto 011)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42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spacing w:line="3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2.3.2. Pozostałe środki trwałe (konto 013)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42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spacing w:line="3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Środki transportu (gr. 7 KŚT)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2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spacing w:line="340" w:lineRule="exact"/>
            </w:pPr>
            <w:r>
              <w:rPr>
                <w:rFonts w:ascii="Times New Roman" w:hAnsi="Times New Roman" w:cs="Times New Roman"/>
                <w:i/>
                <w:iCs/>
              </w:rPr>
              <w:t>2.5. Inne środki trwałe (gr. 8 KŚT), w tym: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spacing w:line="340" w:lineRule="exact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2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2.5.1. Środki trwałe (konto 011)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2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2.5.2. Pozostałe środki trwałe (konto 013)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2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 Zbiory biblioteczne (konto 014)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4F4C">
        <w:trPr>
          <w:trHeight w:val="2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F3F0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wyszczególnione składniki aktywów (1+2+3)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w w:val="8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5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2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43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77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4F4C" w:rsidRDefault="00FA4F4C">
            <w:pPr>
              <w:shd w:val="clear" w:color="auto" w:fill="FFFFFF"/>
              <w:ind w:right="89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A4F4C" w:rsidRDefault="00FF3F0C">
      <w:pPr>
        <w:shd w:val="clear" w:color="auto" w:fill="FFFFFF"/>
      </w:pPr>
      <w:r>
        <w:rPr>
          <w:rFonts w:ascii="Times New Roman" w:hAnsi="Times New Roman" w:cs="Times New Roman"/>
          <w:sz w:val="18"/>
          <w:szCs w:val="18"/>
        </w:rPr>
        <w:t>(*) przez przemieszczenie wewnętrzne należy rozumieć inne zwiększenia wartości początkowej, z wyłączeniem aktualizacji i nabycia. Może to być np. przekwalifikowanie między grupą rodzajową w związku z korektami, przeksięgowaniami czy też innymi operacjami księgowymi.</w:t>
      </w:r>
    </w:p>
    <w:sectPr w:rsidR="00FA4F4C">
      <w:pgSz w:w="16838" w:h="11906" w:orient="landscape"/>
      <w:pgMar w:top="721" w:right="597" w:bottom="1417" w:left="6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4C"/>
    <w:rsid w:val="001837F7"/>
    <w:rsid w:val="00FA4F4C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A4073-86EA-4776-AF82-F927229D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0AC1"/>
    <w:rPr>
      <w:rFonts w:cs="Calibri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Gospodarki Komunalnej i Mieszkaniowej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dc:description/>
  <cp:lastModifiedBy>p34</cp:lastModifiedBy>
  <cp:revision>2</cp:revision>
  <cp:lastPrinted>2019-01-08T10:04:00Z</cp:lastPrinted>
  <dcterms:created xsi:type="dcterms:W3CDTF">2019-01-25T12:00:00Z</dcterms:created>
  <dcterms:modified xsi:type="dcterms:W3CDTF">2019-01-25T12:00:00Z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Zakład Gospodarki Komunalnej i Mieszkaniowej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